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93EF" w14:textId="75CFE7B5" w:rsidR="0010753C" w:rsidRPr="0010753C" w:rsidRDefault="0010753C" w:rsidP="00B113AB">
      <w:pPr>
        <w:spacing w:before="100" w:beforeAutospacing="1" w:after="100" w:afterAutospacing="1"/>
        <w:outlineLvl w:val="0"/>
        <w:rPr>
          <w:rFonts w:eastAsia="Times New Roman" w:cs="Times New Roman"/>
          <w:b/>
          <w:bCs/>
          <w:kern w:val="36"/>
          <w:sz w:val="32"/>
          <w:szCs w:val="32"/>
          <w:lang w:eastAsia="mk-MK"/>
        </w:rPr>
      </w:pPr>
      <w:r w:rsidRPr="0010753C">
        <w:rPr>
          <w:rFonts w:eastAsia="Times New Roman" w:cs="Times New Roman"/>
          <w:b/>
          <w:bCs/>
          <w:kern w:val="36"/>
          <w:sz w:val="32"/>
          <w:szCs w:val="32"/>
          <w:lang w:eastAsia="mk-MK"/>
        </w:rPr>
        <w:t xml:space="preserve">Партнерството за отворена власт (ПОВ) како инструмент за унапредување на транспарентноста, отчетноста и слободниот пристап до информации </w:t>
      </w:r>
      <w:r w:rsidR="00DE72BF">
        <w:rPr>
          <w:rFonts w:eastAsia="Times New Roman" w:cs="Times New Roman"/>
          <w:b/>
          <w:bCs/>
          <w:kern w:val="36"/>
          <w:sz w:val="32"/>
          <w:szCs w:val="32"/>
          <w:lang w:eastAsia="mk-MK"/>
        </w:rPr>
        <w:t>во</w:t>
      </w:r>
      <w:r w:rsidRPr="0010753C">
        <w:rPr>
          <w:rFonts w:eastAsia="Times New Roman" w:cs="Times New Roman"/>
          <w:b/>
          <w:bCs/>
          <w:kern w:val="36"/>
          <w:sz w:val="32"/>
          <w:szCs w:val="32"/>
          <w:lang w:eastAsia="mk-MK"/>
        </w:rPr>
        <w:t xml:space="preserve"> Северна Македонија</w:t>
      </w:r>
    </w:p>
    <w:p w14:paraId="686D62D3"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Партнерството за отворена власт (ПОВ) претставува клучна глобална иницијатива насочена кон унапредување на демократското управување преку зајакнување на транспарентноста, отчетноста на институциите и активно учество на граѓаните во процесите на креирање јавни политики. Во контекст на европската интеграција и обврските што произлегуваат од процесот на пристапување кон Европската Унија, ПОВ има особено значење како механизам што ги поврзува реформите во јавната администрација, владеењето на правото и дигиталната трансформација.</w:t>
      </w:r>
    </w:p>
    <w:p w14:paraId="47752D04" w14:textId="6B440316"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Во услови на ниска доверба на граѓаните во институциите, појава</w:t>
      </w:r>
      <w:r w:rsidR="00951F3A">
        <w:rPr>
          <w:rFonts w:eastAsia="Times New Roman" w:cs="Times New Roman"/>
          <w:szCs w:val="24"/>
          <w:lang w:eastAsia="mk-MK"/>
        </w:rPr>
        <w:t>та</w:t>
      </w:r>
      <w:r w:rsidRPr="0010753C">
        <w:rPr>
          <w:rFonts w:eastAsia="Times New Roman" w:cs="Times New Roman"/>
          <w:szCs w:val="24"/>
          <w:lang w:eastAsia="mk-MK"/>
        </w:rPr>
        <w:t xml:space="preserve"> на молк</w:t>
      </w:r>
      <w:r w:rsidR="00951F3A">
        <w:rPr>
          <w:rFonts w:eastAsia="Times New Roman" w:cs="Times New Roman"/>
          <w:szCs w:val="24"/>
          <w:lang w:eastAsia="mk-MK"/>
        </w:rPr>
        <w:t>от на администрацијата</w:t>
      </w:r>
      <w:r w:rsidRPr="0010753C">
        <w:rPr>
          <w:rFonts w:eastAsia="Times New Roman" w:cs="Times New Roman"/>
          <w:szCs w:val="24"/>
          <w:lang w:eastAsia="mk-MK"/>
        </w:rPr>
        <w:t xml:space="preserve"> и ограничена практична примена на правото на слободен пристап до информации од јавен карактер, ПОВ се наметнува како платформа преку која може да се унапреди институционалната отчетност и да се зајакне контролата од страна на јавноста.</w:t>
      </w:r>
    </w:p>
    <w:p w14:paraId="6749EFEA"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ПОВ се темели на современите концепти на добро управување (good governance), кои ја нагласуваат потребата од транспарентност, учество, одговорност, ефикасност и владеење на правото. Во европски контекст, овие принципи се директно поврзани со вредностите утврдени во член 2 од Договорот за Европската Унија, како и со критериумите од Копенхаген.</w:t>
      </w:r>
    </w:p>
    <w:p w14:paraId="1A85CA10" w14:textId="552EDF3E"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 xml:space="preserve">Преку националните акциски планови, ПОВ функционира како </w:t>
      </w:r>
      <w:r w:rsidR="00D42586" w:rsidRPr="00D42586">
        <w:rPr>
          <w:rFonts w:eastAsia="Times New Roman" w:cs="Times New Roman"/>
          <w:szCs w:val="24"/>
          <w:lang w:eastAsia="mk-MK"/>
        </w:rPr>
        <w:t>координативна рамка за спроведување реформи</w:t>
      </w:r>
      <w:r w:rsidR="00D42586">
        <w:rPr>
          <w:rFonts w:eastAsia="Times New Roman" w:cs="Times New Roman"/>
          <w:szCs w:val="24"/>
          <w:lang w:eastAsia="mk-MK"/>
        </w:rPr>
        <w:t xml:space="preserve"> </w:t>
      </w:r>
      <w:r w:rsidRPr="0010753C">
        <w:rPr>
          <w:rFonts w:eastAsia="Times New Roman" w:cs="Times New Roman"/>
          <w:szCs w:val="24"/>
          <w:lang w:eastAsia="mk-MK"/>
        </w:rPr>
        <w:t>која, иако нема правно обврзувачки карактер, создава политички и институционален притисок за спроведување на реформи. Дополнителна вредност претставува и Независниот механизам за известување (IRM), кој обезбедува надворешна проценка на напредокот и квалитетот на имплементацијата.</w:t>
      </w:r>
    </w:p>
    <w:p w14:paraId="19A58A6D" w14:textId="126C3C9E" w:rsidR="0010753C" w:rsidRPr="0010753C" w:rsidRDefault="0010753C" w:rsidP="00B113AB">
      <w:pPr>
        <w:spacing w:before="100" w:beforeAutospacing="1" w:after="100" w:afterAutospacing="1"/>
        <w:outlineLvl w:val="1"/>
        <w:rPr>
          <w:rFonts w:eastAsia="Times New Roman" w:cs="Times New Roman"/>
          <w:b/>
          <w:bCs/>
          <w:sz w:val="28"/>
          <w:szCs w:val="28"/>
          <w:lang w:eastAsia="mk-MK"/>
        </w:rPr>
      </w:pPr>
      <w:r w:rsidRPr="0010753C">
        <w:rPr>
          <w:rFonts w:eastAsia="Times New Roman" w:cs="Times New Roman"/>
          <w:b/>
          <w:bCs/>
          <w:sz w:val="28"/>
          <w:szCs w:val="28"/>
          <w:lang w:eastAsia="mk-MK"/>
        </w:rPr>
        <w:t>ПОВ и слободниот пристап до информации од јавен карактер</w:t>
      </w:r>
    </w:p>
    <w:p w14:paraId="7EBC3D6D" w14:textId="20D764BD"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 xml:space="preserve">Слободниот пристап до информации од јавен карактер претставува еден од столбовите на ПОВ и предуслов за остварување на транспарентноста и отчетноста. Во Северна Македонија, и покрај релативно солидната законска рамка, практичната примена на ова право и натаму се соочува со сериозни </w:t>
      </w:r>
      <w:r w:rsidRPr="0010753C">
        <w:rPr>
          <w:rFonts w:eastAsia="Times New Roman" w:cs="Times New Roman"/>
          <w:szCs w:val="24"/>
          <w:lang w:eastAsia="mk-MK"/>
        </w:rPr>
        <w:lastRenderedPageBreak/>
        <w:t>предизвици, вклучително и молк</w:t>
      </w:r>
      <w:r w:rsidR="00E06BA1">
        <w:rPr>
          <w:rFonts w:eastAsia="Times New Roman" w:cs="Times New Roman"/>
          <w:szCs w:val="24"/>
          <w:lang w:eastAsia="mk-MK"/>
        </w:rPr>
        <w:t xml:space="preserve"> на администрацијата</w:t>
      </w:r>
      <w:r w:rsidRPr="0010753C">
        <w:rPr>
          <w:rFonts w:eastAsia="Times New Roman" w:cs="Times New Roman"/>
          <w:szCs w:val="24"/>
          <w:lang w:eastAsia="mk-MK"/>
        </w:rPr>
        <w:t>, нецелосни одговори и рестриктивни толкувања на исклучоците.</w:t>
      </w:r>
    </w:p>
    <w:p w14:paraId="168D89E4"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Во таа смисла, ПОВ може да се разгледува како дополнителен инструмент за надминување на структурните слабости во системот за пристап до информации, преку:</w:t>
      </w:r>
    </w:p>
    <w:p w14:paraId="4EEFBD14" w14:textId="77777777" w:rsidR="0010753C" w:rsidRPr="0010753C" w:rsidRDefault="0010753C" w:rsidP="00B113AB">
      <w:pPr>
        <w:numPr>
          <w:ilvl w:val="0"/>
          <w:numId w:val="1"/>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промовирање на проактивна транспарентност;</w:t>
      </w:r>
    </w:p>
    <w:p w14:paraId="5E358C85" w14:textId="77777777" w:rsidR="0010753C" w:rsidRPr="0010753C" w:rsidRDefault="0010753C" w:rsidP="00B113AB">
      <w:pPr>
        <w:numPr>
          <w:ilvl w:val="0"/>
          <w:numId w:val="1"/>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унапредување на институционалните капацитети;</w:t>
      </w:r>
    </w:p>
    <w:p w14:paraId="475CA581" w14:textId="77777777" w:rsidR="0010753C" w:rsidRPr="0010753C" w:rsidRDefault="0010753C" w:rsidP="00B113AB">
      <w:pPr>
        <w:numPr>
          <w:ilvl w:val="0"/>
          <w:numId w:val="1"/>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зголемување на улогата на граѓанското општество во мониторингот;</w:t>
      </w:r>
    </w:p>
    <w:p w14:paraId="484621E0" w14:textId="77777777" w:rsidR="0010753C" w:rsidRPr="0010753C" w:rsidRDefault="0010753C" w:rsidP="00B113AB">
      <w:pPr>
        <w:numPr>
          <w:ilvl w:val="0"/>
          <w:numId w:val="1"/>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поврзување на правото на пристап до информации со пошироките политики за отчетност.</w:t>
      </w:r>
    </w:p>
    <w:p w14:paraId="458E6A50" w14:textId="4FD33D10" w:rsidR="0010753C" w:rsidRPr="0010753C" w:rsidRDefault="0010753C" w:rsidP="00B113AB">
      <w:pPr>
        <w:spacing w:before="100" w:beforeAutospacing="1" w:after="100" w:afterAutospacing="1"/>
        <w:outlineLvl w:val="1"/>
        <w:rPr>
          <w:rFonts w:eastAsia="Times New Roman" w:cs="Times New Roman"/>
          <w:b/>
          <w:bCs/>
          <w:sz w:val="28"/>
          <w:szCs w:val="28"/>
          <w:lang w:eastAsia="mk-MK"/>
        </w:rPr>
      </w:pPr>
      <w:r w:rsidRPr="0010753C">
        <w:rPr>
          <w:rFonts w:eastAsia="Times New Roman" w:cs="Times New Roman"/>
          <w:b/>
          <w:bCs/>
          <w:sz w:val="28"/>
          <w:szCs w:val="28"/>
          <w:lang w:eastAsia="mk-MK"/>
        </w:rPr>
        <w:t>Отворени податоци и дигитална транспарентност</w:t>
      </w:r>
    </w:p>
    <w:p w14:paraId="03915409" w14:textId="2A8EF128"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Политиките за отворени податоци претставуваат суштинска компонента на ПОВ и важен елемент на дигиталната агенда на Европската Унија. Во Северна Македонија, отворените податоци се препознаени како приоритет, но нивната употреба и квалитет остануваат ограничени.</w:t>
      </w:r>
    </w:p>
    <w:p w14:paraId="79518FFE"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ПОВ овозможува систематски пристап кон отворањето на податоците, не само како технички процес, туку и како средство за:</w:t>
      </w:r>
    </w:p>
    <w:p w14:paraId="490E025A" w14:textId="77777777" w:rsidR="0010753C" w:rsidRPr="0010753C" w:rsidRDefault="0010753C" w:rsidP="00B113AB">
      <w:pPr>
        <w:numPr>
          <w:ilvl w:val="0"/>
          <w:numId w:val="2"/>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зголемување на јавниот надзор над трошењето на јавните средства;</w:t>
      </w:r>
    </w:p>
    <w:p w14:paraId="397D12EF" w14:textId="77777777" w:rsidR="0010753C" w:rsidRPr="0010753C" w:rsidRDefault="0010753C" w:rsidP="00B113AB">
      <w:pPr>
        <w:numPr>
          <w:ilvl w:val="0"/>
          <w:numId w:val="2"/>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поттикнување на иновации и истражувачко новинарство;</w:t>
      </w:r>
    </w:p>
    <w:p w14:paraId="0E4C254E" w14:textId="77777777" w:rsidR="0010753C" w:rsidRPr="0010753C" w:rsidRDefault="0010753C" w:rsidP="00B113AB">
      <w:pPr>
        <w:numPr>
          <w:ilvl w:val="0"/>
          <w:numId w:val="2"/>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подобрување на донесувањето политики засновани на докази.</w:t>
      </w:r>
    </w:p>
    <w:p w14:paraId="20FE9CC4" w14:textId="48C66346"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Клучен институционален актер во системот на слободен пристап до информации од јавен карактер во Република Северна Македонија е Агенцијата за слободен пристап до информации од јавен карактер (во натамошниот текст: Агенцијата). Нејзината улога како независен орган за унапредување на практичната примена на правото на пристап до информации е од суштинско значење за ефективноста на политиките за транспарентност и отчетност.</w:t>
      </w:r>
    </w:p>
    <w:p w14:paraId="62D0D95A" w14:textId="4CF96D7D"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Во контекст на Партнерството за отворена власт, Агенцијата има потенцијал да биде еден од клучните имплементатори на заложбите поврзани со транспарентноста, проактивното објавување информации и надминувањето на молк</w:t>
      </w:r>
      <w:r w:rsidR="003E0717">
        <w:rPr>
          <w:rFonts w:eastAsia="Times New Roman" w:cs="Times New Roman"/>
          <w:szCs w:val="24"/>
          <w:lang w:eastAsia="mk-MK"/>
        </w:rPr>
        <w:t>от на администрацијата</w:t>
      </w:r>
      <w:r w:rsidRPr="0010753C">
        <w:rPr>
          <w:rFonts w:eastAsia="Times New Roman" w:cs="Times New Roman"/>
          <w:szCs w:val="24"/>
          <w:lang w:eastAsia="mk-MK"/>
        </w:rPr>
        <w:t>. Нејзините надлежности и акумулираното институционално искуство</w:t>
      </w:r>
      <w:r w:rsidR="003E0717">
        <w:rPr>
          <w:rFonts w:eastAsia="Times New Roman" w:cs="Times New Roman"/>
          <w:szCs w:val="24"/>
          <w:lang w:eastAsia="mk-MK"/>
        </w:rPr>
        <w:t>,</w:t>
      </w:r>
      <w:r w:rsidRPr="0010753C">
        <w:rPr>
          <w:rFonts w:eastAsia="Times New Roman" w:cs="Times New Roman"/>
          <w:szCs w:val="24"/>
          <w:lang w:eastAsia="mk-MK"/>
        </w:rPr>
        <w:t xml:space="preserve"> овозможуваат ПОВ да се поврзе со реалните предизвици во секојдневната примена на Законот за слободен пристап до информации од јавен карактер.</w:t>
      </w:r>
    </w:p>
    <w:p w14:paraId="012F3CD9" w14:textId="4A696F13"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lastRenderedPageBreak/>
        <w:t xml:space="preserve">Истовремено, предизвиците поврзани со административната отчетност, кои се адресирани и во </w:t>
      </w:r>
      <w:r w:rsidR="009437EF">
        <w:rPr>
          <w:rFonts w:eastAsia="Times New Roman" w:cs="Times New Roman"/>
          <w:szCs w:val="24"/>
          <w:lang w:eastAsia="mk-MK"/>
        </w:rPr>
        <w:t>Стратегијата</w:t>
      </w:r>
      <w:r w:rsidRPr="0010753C">
        <w:rPr>
          <w:rFonts w:eastAsia="Times New Roman" w:cs="Times New Roman"/>
          <w:szCs w:val="24"/>
          <w:lang w:eastAsia="mk-MK"/>
        </w:rPr>
        <w:t xml:space="preserve"> за реформ</w:t>
      </w:r>
      <w:r w:rsidR="009437EF">
        <w:rPr>
          <w:rFonts w:eastAsia="Times New Roman" w:cs="Times New Roman"/>
          <w:szCs w:val="24"/>
          <w:lang w:eastAsia="mk-MK"/>
        </w:rPr>
        <w:t>а</w:t>
      </w:r>
      <w:r w:rsidRPr="0010753C">
        <w:rPr>
          <w:rFonts w:eastAsia="Times New Roman" w:cs="Times New Roman"/>
          <w:szCs w:val="24"/>
          <w:lang w:eastAsia="mk-MK"/>
        </w:rPr>
        <w:t xml:space="preserve"> </w:t>
      </w:r>
      <w:r w:rsidR="009437EF">
        <w:rPr>
          <w:rFonts w:eastAsia="Times New Roman" w:cs="Times New Roman"/>
          <w:szCs w:val="24"/>
          <w:lang w:eastAsia="mk-MK"/>
        </w:rPr>
        <w:t>на</w:t>
      </w:r>
      <w:r w:rsidRPr="0010753C">
        <w:rPr>
          <w:rFonts w:eastAsia="Times New Roman" w:cs="Times New Roman"/>
          <w:szCs w:val="24"/>
          <w:lang w:eastAsia="mk-MK"/>
        </w:rPr>
        <w:t xml:space="preserve"> јавната администрација, директно се рефлектираат и во работата на Агенцијата, особено во делот на постапувањето по жалби, извршувањето на одлуките и потребата од зајакнување на институционалните капацитети кај имателите на информации.</w:t>
      </w:r>
    </w:p>
    <w:p w14:paraId="0C3DFA92"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Во таа смисла, ПОВ може да послужи како комплементарна рамка за систематско јакнење на улогата на Агенцијата, преку:</w:t>
      </w:r>
    </w:p>
    <w:p w14:paraId="40C26D2F" w14:textId="77777777" w:rsidR="0010753C" w:rsidRPr="0010753C" w:rsidRDefault="0010753C" w:rsidP="00B113AB">
      <w:pPr>
        <w:numPr>
          <w:ilvl w:val="0"/>
          <w:numId w:val="3"/>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интегрирање на препораките и наодите од работата на Агенцијата во заложбите на акциските планови;</w:t>
      </w:r>
    </w:p>
    <w:p w14:paraId="7DE3879D" w14:textId="49D70BBC" w:rsidR="0010753C" w:rsidRPr="0010753C" w:rsidRDefault="0010753C" w:rsidP="00B113AB">
      <w:pPr>
        <w:numPr>
          <w:ilvl w:val="0"/>
          <w:numId w:val="3"/>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подобрување на координацијата помеѓу Агенцијата и имателите на информации;</w:t>
      </w:r>
    </w:p>
    <w:p w14:paraId="1CD68AF9" w14:textId="2D8B4007" w:rsidR="0010753C" w:rsidRPr="0010753C" w:rsidRDefault="0010753C" w:rsidP="00B113AB">
      <w:pPr>
        <w:numPr>
          <w:ilvl w:val="0"/>
          <w:numId w:val="3"/>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поттикнување на проактивна транспарентност како средство за намалување на бројот на жалби и молк</w:t>
      </w:r>
      <w:r w:rsidR="009437EF">
        <w:rPr>
          <w:rFonts w:eastAsia="Times New Roman" w:cs="Times New Roman"/>
          <w:szCs w:val="24"/>
          <w:lang w:eastAsia="mk-MK"/>
        </w:rPr>
        <w:t>от на администрацијата</w:t>
      </w:r>
      <w:r w:rsidRPr="0010753C">
        <w:rPr>
          <w:rFonts w:eastAsia="Times New Roman" w:cs="Times New Roman"/>
          <w:szCs w:val="24"/>
          <w:lang w:eastAsia="mk-MK"/>
        </w:rPr>
        <w:t>.</w:t>
      </w:r>
    </w:p>
    <w:p w14:paraId="6D9E2C86"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Овој пристап е во согласност со препораките содржани во EU Rule of Law Report 2024, кои ја нагласуваат важноста на ефикасни, независни и функционални надзорни механизми во областа на пристапот до информации, како и со целите утврдени во Програмата за реформи во јавната администрација, насочени кон подобрување на отчетноста и управувањето со информации.</w:t>
      </w:r>
    </w:p>
    <w:p w14:paraId="222502DB"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Иако акциските планови на ПОВ предвидуваат низа активности, нивната ефективност често е ограничена од недоволна меѓуинституционална координација, ограничени човечки ресурси и отсуство на јасни механизми за индивидуална и институционална одговорност. Овие слабости се препознаени и во EU Rule of Law Report 2024, кој укажува на потребата од понатамошно зајакнување на административните капацитети и практичната примена на постојните политики.</w:t>
      </w:r>
    </w:p>
    <w:p w14:paraId="00EB4C13" w14:textId="7044B37C"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 xml:space="preserve">Еден од клучните предизвици во имплементацијата на ПОВ во Северна Македонија е слабата административна отчетност. Иако акциските планови предвидуваат бројни заложби, нивната реализација често зависи </w:t>
      </w:r>
      <w:r w:rsidR="009437EF">
        <w:rPr>
          <w:rFonts w:eastAsia="Times New Roman" w:cs="Times New Roman"/>
          <w:szCs w:val="24"/>
          <w:lang w:eastAsia="mk-MK"/>
        </w:rPr>
        <w:t xml:space="preserve">и </w:t>
      </w:r>
      <w:r w:rsidRPr="0010753C">
        <w:rPr>
          <w:rFonts w:eastAsia="Times New Roman" w:cs="Times New Roman"/>
          <w:szCs w:val="24"/>
          <w:lang w:eastAsia="mk-MK"/>
        </w:rPr>
        <w:t>од ограничени</w:t>
      </w:r>
      <w:r w:rsidR="009437EF">
        <w:rPr>
          <w:rFonts w:eastAsia="Times New Roman" w:cs="Times New Roman"/>
          <w:szCs w:val="24"/>
          <w:lang w:eastAsia="mk-MK"/>
        </w:rPr>
        <w:t>те</w:t>
      </w:r>
      <w:r w:rsidRPr="0010753C">
        <w:rPr>
          <w:rFonts w:eastAsia="Times New Roman" w:cs="Times New Roman"/>
          <w:szCs w:val="24"/>
          <w:lang w:eastAsia="mk-MK"/>
        </w:rPr>
        <w:t xml:space="preserve"> човечки и институционални капацитети</w:t>
      </w:r>
      <w:r w:rsidR="009437EF">
        <w:rPr>
          <w:rFonts w:eastAsia="Times New Roman" w:cs="Times New Roman"/>
          <w:szCs w:val="24"/>
          <w:lang w:eastAsia="mk-MK"/>
        </w:rPr>
        <w:t>.</w:t>
      </w:r>
    </w:p>
    <w:p w14:paraId="032DA4B2" w14:textId="137DB7F7" w:rsidR="0010753C" w:rsidRPr="00B113AB" w:rsidRDefault="009437EF" w:rsidP="00B113AB">
      <w:pPr>
        <w:spacing w:before="100" w:beforeAutospacing="1" w:after="100" w:afterAutospacing="1"/>
        <w:rPr>
          <w:rFonts w:eastAsia="Times New Roman" w:cs="Times New Roman"/>
          <w:szCs w:val="24"/>
          <w:lang w:eastAsia="mk-MK"/>
        </w:rPr>
      </w:pPr>
      <w:r>
        <w:rPr>
          <w:rFonts w:eastAsia="Times New Roman" w:cs="Times New Roman"/>
          <w:szCs w:val="24"/>
          <w:lang w:eastAsia="mk-MK"/>
        </w:rPr>
        <w:t>Молкот на администрацијата</w:t>
      </w:r>
      <w:r w:rsidR="0010753C" w:rsidRPr="0010753C">
        <w:rPr>
          <w:rFonts w:eastAsia="Times New Roman" w:cs="Times New Roman"/>
          <w:szCs w:val="24"/>
          <w:lang w:eastAsia="mk-MK"/>
        </w:rPr>
        <w:t>, недоволната координација меѓу институциите и формалниот пристап кон јавните консултации ја намалуваат ефективноста на ПОВ како реформски механизам.</w:t>
      </w:r>
    </w:p>
    <w:p w14:paraId="424E0D86" w14:textId="167CA8C2" w:rsidR="0010753C" w:rsidRPr="0010753C" w:rsidRDefault="009437EF" w:rsidP="00B113AB">
      <w:pPr>
        <w:spacing w:before="100" w:beforeAutospacing="1" w:after="100" w:afterAutospacing="1"/>
        <w:rPr>
          <w:rFonts w:eastAsia="Times New Roman" w:cs="Times New Roman"/>
          <w:szCs w:val="24"/>
          <w:lang w:eastAsia="mk-MK"/>
        </w:rPr>
      </w:pPr>
      <w:r>
        <w:rPr>
          <w:rFonts w:eastAsia="Times New Roman" w:cs="Times New Roman"/>
          <w:szCs w:val="24"/>
          <w:lang w:eastAsia="mk-MK"/>
        </w:rPr>
        <w:lastRenderedPageBreak/>
        <w:t>А</w:t>
      </w:r>
      <w:r w:rsidR="0010753C" w:rsidRPr="0010753C">
        <w:rPr>
          <w:rFonts w:eastAsia="Times New Roman" w:cs="Times New Roman"/>
          <w:szCs w:val="24"/>
          <w:lang w:eastAsia="mk-MK"/>
        </w:rPr>
        <w:t>кциски</w:t>
      </w:r>
      <w:r>
        <w:rPr>
          <w:rFonts w:eastAsia="Times New Roman" w:cs="Times New Roman"/>
          <w:szCs w:val="24"/>
          <w:lang w:eastAsia="mk-MK"/>
        </w:rPr>
        <w:t>те</w:t>
      </w:r>
      <w:r w:rsidR="0010753C" w:rsidRPr="0010753C">
        <w:rPr>
          <w:rFonts w:eastAsia="Times New Roman" w:cs="Times New Roman"/>
          <w:szCs w:val="24"/>
          <w:lang w:eastAsia="mk-MK"/>
        </w:rPr>
        <w:t xml:space="preserve"> план</w:t>
      </w:r>
      <w:r>
        <w:rPr>
          <w:rFonts w:eastAsia="Times New Roman" w:cs="Times New Roman"/>
          <w:szCs w:val="24"/>
          <w:lang w:eastAsia="mk-MK"/>
        </w:rPr>
        <w:t>ови</w:t>
      </w:r>
      <w:r w:rsidR="0010753C" w:rsidRPr="0010753C">
        <w:rPr>
          <w:rFonts w:eastAsia="Times New Roman" w:cs="Times New Roman"/>
          <w:szCs w:val="24"/>
          <w:lang w:eastAsia="mk-MK"/>
        </w:rPr>
        <w:t xml:space="preserve"> ги опфаќа сите три гранки на власта преку концептите </w:t>
      </w:r>
      <w:r>
        <w:rPr>
          <w:rFonts w:eastAsia="Times New Roman" w:cs="Times New Roman"/>
          <w:szCs w:val="24"/>
          <w:lang w:eastAsia="mk-MK"/>
        </w:rPr>
        <w:t xml:space="preserve">на </w:t>
      </w:r>
      <w:r w:rsidR="0010753C" w:rsidRPr="0010753C">
        <w:rPr>
          <w:rFonts w:eastAsia="Times New Roman" w:cs="Times New Roman"/>
          <w:szCs w:val="24"/>
          <w:lang w:eastAsia="mk-MK"/>
        </w:rPr>
        <w:t>Отворена Влада, Отворен Парламент и Отворено Судство, што е позитивен исчекор</w:t>
      </w:r>
      <w:r>
        <w:rPr>
          <w:rFonts w:eastAsia="Times New Roman" w:cs="Times New Roman"/>
          <w:szCs w:val="24"/>
          <w:lang w:eastAsia="mk-MK"/>
        </w:rPr>
        <w:t>.</w:t>
      </w:r>
    </w:p>
    <w:p w14:paraId="47699277" w14:textId="388F1489"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 xml:space="preserve">Сепак, </w:t>
      </w:r>
      <w:r w:rsidR="009437EF">
        <w:rPr>
          <w:rFonts w:eastAsia="Times New Roman" w:cs="Times New Roman"/>
          <w:szCs w:val="24"/>
          <w:lang w:eastAsia="mk-MK"/>
        </w:rPr>
        <w:t xml:space="preserve">останува </w:t>
      </w:r>
      <w:r w:rsidRPr="0010753C">
        <w:rPr>
          <w:rFonts w:eastAsia="Times New Roman" w:cs="Times New Roman"/>
          <w:szCs w:val="24"/>
          <w:lang w:eastAsia="mk-MK"/>
        </w:rPr>
        <w:t>предизвик</w:t>
      </w:r>
      <w:r w:rsidR="009437EF">
        <w:rPr>
          <w:rFonts w:eastAsia="Times New Roman" w:cs="Times New Roman"/>
          <w:szCs w:val="24"/>
          <w:lang w:eastAsia="mk-MK"/>
        </w:rPr>
        <w:t xml:space="preserve">от за </w:t>
      </w:r>
      <w:r w:rsidRPr="0010753C">
        <w:rPr>
          <w:rFonts w:eastAsia="Times New Roman" w:cs="Times New Roman"/>
          <w:szCs w:val="24"/>
          <w:lang w:eastAsia="mk-MK"/>
        </w:rPr>
        <w:t>претворањето на заложбите во мерливи и одржливи резултати, особено во делот на пристапот до информации и отчетноста на институциите.</w:t>
      </w:r>
    </w:p>
    <w:p w14:paraId="72670A05"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Активното учество на граѓанското општество претставува предуслов за суштинска имплементација на ПОВ. Во спротивно, постои ризик процесот да се сведе на формално исполнување на меѓународни обврски, без значајно влијание врз секојдневното функционирање на институциите.</w:t>
      </w:r>
    </w:p>
    <w:p w14:paraId="75F86038" w14:textId="2A92E670" w:rsidR="0010753C" w:rsidRPr="0010753C" w:rsidRDefault="008022B8" w:rsidP="00B113AB">
      <w:pPr>
        <w:spacing w:before="100" w:beforeAutospacing="1" w:after="100" w:afterAutospacing="1"/>
        <w:outlineLvl w:val="1"/>
        <w:rPr>
          <w:rFonts w:eastAsia="Times New Roman" w:cs="Times New Roman"/>
          <w:b/>
          <w:bCs/>
          <w:sz w:val="28"/>
          <w:szCs w:val="28"/>
          <w:lang w:eastAsia="mk-MK"/>
        </w:rPr>
      </w:pPr>
      <w:r>
        <w:rPr>
          <w:rFonts w:eastAsia="Times New Roman" w:cs="Times New Roman"/>
          <w:b/>
          <w:bCs/>
          <w:sz w:val="28"/>
          <w:szCs w:val="28"/>
          <w:lang w:eastAsia="mk-MK"/>
        </w:rPr>
        <w:t>Р</w:t>
      </w:r>
      <w:r w:rsidR="0010753C" w:rsidRPr="0010753C">
        <w:rPr>
          <w:rFonts w:eastAsia="Times New Roman" w:cs="Times New Roman"/>
          <w:b/>
          <w:bCs/>
          <w:sz w:val="28"/>
          <w:szCs w:val="28"/>
          <w:lang w:eastAsia="mk-MK"/>
        </w:rPr>
        <w:t>егионални искуства и добри практики</w:t>
      </w:r>
    </w:p>
    <w:p w14:paraId="54902EAB"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Во регионален контекст, искуствата од имплементацијата на Партнерството за отворена власт укажуваат на различни нивоа на институционална зрелост и политичка посветеност. Овие разлики се конзистентни и со наодите од редовните Извештаи за владеење на правото на Европската комисија (EU Rule of Law Reports), кои континуирано ја нагласуваат важноста на транспарентноста, пристапот до информации и отчетноста како хоризонтални прашања релевантни за сите земји во процес на пристапување кон Европската Унија.</w:t>
      </w:r>
    </w:p>
    <w:p w14:paraId="3A5B265F"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Во дел од земјите од Западен Балкан се забележува појасна поврзаност помеѓу акциските планови во рамки на ПОВ и националните стратегии за борба против корупцијата, јавна администрација и дигитална трансформација. Овој пристап е во согласност со препораките на Европската комисија, кои упатуваат на потребата од систематско користење на постоечките политики и алатки за зајакнување на институционалната отчетност и јавниот надзор.</w:t>
      </w:r>
    </w:p>
    <w:p w14:paraId="55DBD297" w14:textId="1E80B3F5"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Како добра практика може да се издвојат примерите каде што независните надзорни тела и граѓанското општество имаат поизразена улога во следењето на имплементацијата на акциските планови, вклучително и преку јавно достапни извештаи со јасно дефинирани и мерливи индикатори. Ваквите практики се во линија со наодите на EU Rule of Law извештаите</w:t>
      </w:r>
      <w:r w:rsidR="00B113AB">
        <w:rPr>
          <w:rStyle w:val="FootnoteReference"/>
          <w:rFonts w:eastAsia="Times New Roman" w:cs="Times New Roman"/>
          <w:szCs w:val="24"/>
          <w:lang w:eastAsia="mk-MK"/>
        </w:rPr>
        <w:footnoteReference w:id="1"/>
      </w:r>
      <w:r w:rsidRPr="0010753C">
        <w:rPr>
          <w:rFonts w:eastAsia="Times New Roman" w:cs="Times New Roman"/>
          <w:szCs w:val="24"/>
          <w:lang w:eastAsia="mk-MK"/>
        </w:rPr>
        <w:t xml:space="preserve">, кои </w:t>
      </w:r>
      <w:r w:rsidRPr="0010753C">
        <w:rPr>
          <w:rFonts w:eastAsia="Times New Roman" w:cs="Times New Roman"/>
          <w:szCs w:val="24"/>
          <w:lang w:eastAsia="mk-MK"/>
        </w:rPr>
        <w:lastRenderedPageBreak/>
        <w:t>ја истакнуваат потребата од ефективни механизми за надзор над администрацијата и справување со молк</w:t>
      </w:r>
      <w:r w:rsidR="00686F49">
        <w:rPr>
          <w:rFonts w:eastAsia="Times New Roman" w:cs="Times New Roman"/>
          <w:szCs w:val="24"/>
          <w:lang w:eastAsia="mk-MK"/>
        </w:rPr>
        <w:t>от на администрацијата</w:t>
      </w:r>
      <w:r w:rsidRPr="0010753C">
        <w:rPr>
          <w:rFonts w:eastAsia="Times New Roman" w:cs="Times New Roman"/>
          <w:szCs w:val="24"/>
          <w:lang w:eastAsia="mk-MK"/>
        </w:rPr>
        <w:t>.</w:t>
      </w:r>
    </w:p>
    <w:p w14:paraId="6D2AE104" w14:textId="2CFA48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Во делот на отворените податоци, регионалните искуства покажуваат дека најдобри резултати се постигнуваат кога отворањето на податоците е директно поврзано со конкретни јавни политики, како што се јавните набавки, буџетската транспарентност и заштитата на животната средина. Овој пристап е препознаен и во анализите на Независниот механизам за известување на ПОВ (IRM)</w:t>
      </w:r>
      <w:r w:rsidR="00B113AB">
        <w:rPr>
          <w:rStyle w:val="FootnoteReference"/>
          <w:rFonts w:eastAsia="Times New Roman" w:cs="Times New Roman"/>
          <w:szCs w:val="24"/>
          <w:lang w:eastAsia="mk-MK"/>
        </w:rPr>
        <w:footnoteReference w:id="2"/>
      </w:r>
      <w:r w:rsidRPr="0010753C">
        <w:rPr>
          <w:rFonts w:eastAsia="Times New Roman" w:cs="Times New Roman"/>
          <w:szCs w:val="24"/>
          <w:lang w:eastAsia="mk-MK"/>
        </w:rPr>
        <w:t>, кој укажува дека квалитетот и употребливоста на податоците се поважни од нивниот квантитет.</w:t>
      </w:r>
    </w:p>
    <w:p w14:paraId="57455533" w14:textId="65DAB79D" w:rsidR="00B113AB" w:rsidRPr="00B113AB"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Во споредба со овие практики, Северна Македонија сè уште се соочува со предизвикот на потреба од понатамошно зајакнување на суштинската имплементација, ограничена меѓуинституционална координација и недоволно систематско користење на ПОВ како алатка за надминување на административниот молк. Овие согледувања се поклопуваат со општите забелешки содржани во EU Rule of Law извештаите за земјата, кои упатуваат на потребата од понатамошно зајакнување на практичната примена на принципите на транспарентност и отчетност во јавната администрација.</w:t>
      </w:r>
    </w:p>
    <w:p w14:paraId="2E66C14E" w14:textId="55667939" w:rsidR="0010753C" w:rsidRPr="0010753C" w:rsidRDefault="0010753C" w:rsidP="00B113AB">
      <w:pPr>
        <w:spacing w:before="100" w:beforeAutospacing="1" w:after="100" w:afterAutospacing="1"/>
        <w:outlineLvl w:val="1"/>
        <w:rPr>
          <w:rFonts w:eastAsia="Times New Roman" w:cs="Times New Roman"/>
          <w:b/>
          <w:bCs/>
          <w:sz w:val="28"/>
          <w:szCs w:val="28"/>
          <w:lang w:eastAsia="mk-MK"/>
        </w:rPr>
      </w:pPr>
      <w:r w:rsidRPr="0010753C">
        <w:rPr>
          <w:rFonts w:eastAsia="Times New Roman" w:cs="Times New Roman"/>
          <w:b/>
          <w:bCs/>
          <w:sz w:val="28"/>
          <w:szCs w:val="28"/>
          <w:lang w:eastAsia="mk-MK"/>
        </w:rPr>
        <w:t>Препораки</w:t>
      </w:r>
    </w:p>
    <w:p w14:paraId="2061906E" w14:textId="43037A61"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 xml:space="preserve">Врз основа на </w:t>
      </w:r>
      <w:r w:rsidR="00686F49">
        <w:rPr>
          <w:rFonts w:eastAsia="Times New Roman" w:cs="Times New Roman"/>
          <w:szCs w:val="24"/>
          <w:lang w:eastAsia="mk-MK"/>
        </w:rPr>
        <w:t>погоренаведеното</w:t>
      </w:r>
      <w:r w:rsidRPr="0010753C">
        <w:rPr>
          <w:rFonts w:eastAsia="Times New Roman" w:cs="Times New Roman"/>
          <w:szCs w:val="24"/>
          <w:lang w:eastAsia="mk-MK"/>
        </w:rPr>
        <w:t>, може да се издвојат следните клучни препораки:</w:t>
      </w:r>
    </w:p>
    <w:p w14:paraId="59EE9803" w14:textId="4CE50568" w:rsidR="0010753C" w:rsidRPr="0010753C" w:rsidRDefault="0010753C" w:rsidP="00B113AB">
      <w:pPr>
        <w:numPr>
          <w:ilvl w:val="0"/>
          <w:numId w:val="4"/>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Зајакнување на поврзаноста помеѓу ПОВ и слободн</w:t>
      </w:r>
      <w:r w:rsidR="0079472D">
        <w:rPr>
          <w:rFonts w:eastAsia="Times New Roman" w:cs="Times New Roman"/>
          <w:szCs w:val="24"/>
          <w:lang w:eastAsia="mk-MK"/>
        </w:rPr>
        <w:t>иот</w:t>
      </w:r>
      <w:r w:rsidRPr="0010753C">
        <w:rPr>
          <w:rFonts w:eastAsia="Times New Roman" w:cs="Times New Roman"/>
          <w:szCs w:val="24"/>
          <w:lang w:eastAsia="mk-MK"/>
        </w:rPr>
        <w:t xml:space="preserve"> пристап до информации, преку конкретни и мерливи заложби.</w:t>
      </w:r>
    </w:p>
    <w:p w14:paraId="314A92F1" w14:textId="77777777" w:rsidR="0010753C" w:rsidRPr="0010753C" w:rsidRDefault="0010753C" w:rsidP="00B113AB">
      <w:pPr>
        <w:numPr>
          <w:ilvl w:val="0"/>
          <w:numId w:val="4"/>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Унапредување на проактивната транспарентност и квалитетот на објавените информации и отворени податоци.</w:t>
      </w:r>
    </w:p>
    <w:p w14:paraId="14F3F7F4" w14:textId="77777777" w:rsidR="0010753C" w:rsidRPr="0010753C" w:rsidRDefault="0010753C" w:rsidP="00B113AB">
      <w:pPr>
        <w:numPr>
          <w:ilvl w:val="0"/>
          <w:numId w:val="4"/>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Јакнење на институционалните капацитети и јасно утврдување на одговорноста за спроведување на заложбите.</w:t>
      </w:r>
    </w:p>
    <w:p w14:paraId="6E7BFB4B" w14:textId="77777777" w:rsidR="0010753C" w:rsidRPr="0010753C" w:rsidRDefault="0010753C" w:rsidP="00B113AB">
      <w:pPr>
        <w:numPr>
          <w:ilvl w:val="0"/>
          <w:numId w:val="4"/>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Обезбедување суштинско, а не формално учество на граѓаните и граѓанското општество.</w:t>
      </w:r>
    </w:p>
    <w:p w14:paraId="25645A2B" w14:textId="090D3EAD" w:rsidR="0010753C" w:rsidRDefault="0010753C" w:rsidP="00B113AB">
      <w:pPr>
        <w:numPr>
          <w:ilvl w:val="0"/>
          <w:numId w:val="4"/>
        </w:num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Подобрување на механизмите за следење, евалуација и јавна отчетност на имплементацијата на акциските планови.</w:t>
      </w:r>
    </w:p>
    <w:p w14:paraId="5C2A28CB" w14:textId="77777777" w:rsidR="0079472D" w:rsidRPr="0010753C" w:rsidRDefault="0079472D" w:rsidP="0079472D">
      <w:pPr>
        <w:spacing w:before="100" w:beforeAutospacing="1" w:after="100" w:afterAutospacing="1"/>
        <w:rPr>
          <w:rFonts w:eastAsia="Times New Roman" w:cs="Times New Roman"/>
          <w:szCs w:val="24"/>
          <w:lang w:eastAsia="mk-MK"/>
        </w:rPr>
      </w:pPr>
    </w:p>
    <w:p w14:paraId="15E3E915" w14:textId="34B587FD" w:rsidR="0010753C" w:rsidRPr="0010753C" w:rsidRDefault="0010753C" w:rsidP="00B113AB">
      <w:pPr>
        <w:spacing w:before="100" w:beforeAutospacing="1" w:after="100" w:afterAutospacing="1"/>
        <w:outlineLvl w:val="1"/>
        <w:rPr>
          <w:rFonts w:eastAsia="Times New Roman" w:cs="Times New Roman"/>
          <w:b/>
          <w:bCs/>
          <w:sz w:val="28"/>
          <w:szCs w:val="28"/>
          <w:lang w:eastAsia="mk-MK"/>
        </w:rPr>
      </w:pPr>
      <w:r w:rsidRPr="0010753C">
        <w:rPr>
          <w:rFonts w:eastAsia="Times New Roman" w:cs="Times New Roman"/>
          <w:b/>
          <w:bCs/>
          <w:sz w:val="28"/>
          <w:szCs w:val="28"/>
          <w:lang w:eastAsia="mk-MK"/>
        </w:rPr>
        <w:lastRenderedPageBreak/>
        <w:t>Заклучок</w:t>
      </w:r>
    </w:p>
    <w:p w14:paraId="63718CB7" w14:textId="3F38916F"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Партнерството за отворена власт претставува значаен инструмент за унапредување на транспарентноста, слободниот пристап до информации и административната отчетност во Република Северна Македонија, особено во контекст на европската интеграција и спроведувањето на реформите во јавната администрација.</w:t>
      </w:r>
    </w:p>
    <w:p w14:paraId="16302A44"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Вистинската додадена вредност на ПОВ ќе зависи од степенот на неговата практична имплементација, јакнењето на институционалните капацитети и обезбедувањето континуирано и значајно учество на граѓаните и граѓанското општество.</w:t>
      </w:r>
    </w:p>
    <w:p w14:paraId="723EB090"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Во таа насока, Владата останува посветена на континуирано унапредување на транспарентноста, отчетноста и отвореноста на институциите, преку усогласување на националните политики со европските стандарди и ефикасно спроведување на преземените реформски заложби.</w:t>
      </w:r>
    </w:p>
    <w:p w14:paraId="6A08711B" w14:textId="6AC4C0A2"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Партнерството за отворена власт претставува значаен инструмент за унапредување на транспарентноста, слободниот пристап до информации и административната отчетност во Република Северна Македонија, особено во контекст на европската интеграција и спроведувањето на реформите во јавната администрација.</w:t>
      </w:r>
    </w:p>
    <w:p w14:paraId="60E80F1E" w14:textId="77777777" w:rsidR="0010753C" w:rsidRPr="0010753C"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Вистинската додадена вредност на ПОВ ќе зависи од степенот на неговата практична имплементација, јакнењето на институционалните капацитети и обезбедувањето континуирано и значајно учество на граѓаните и граѓанското општество.</w:t>
      </w:r>
    </w:p>
    <w:p w14:paraId="3D0016AA" w14:textId="191F03C2" w:rsidR="00B113AB" w:rsidRDefault="0010753C" w:rsidP="00B113AB">
      <w:pPr>
        <w:spacing w:before="100" w:beforeAutospacing="1" w:after="100" w:afterAutospacing="1"/>
        <w:rPr>
          <w:rFonts w:eastAsia="Times New Roman" w:cs="Times New Roman"/>
          <w:szCs w:val="24"/>
          <w:lang w:eastAsia="mk-MK"/>
        </w:rPr>
      </w:pPr>
      <w:r w:rsidRPr="0010753C">
        <w:rPr>
          <w:rFonts w:eastAsia="Times New Roman" w:cs="Times New Roman"/>
          <w:szCs w:val="24"/>
          <w:lang w:eastAsia="mk-MK"/>
        </w:rPr>
        <w:t>Во таа насока, Владата останува посветена на континуирано унапредување на транспарентноста, отчетноста и отвореноста на институциите, преку усогласување на националните политики со европските стандарди и ефикасно спроведување на преземените реформски заложби.</w:t>
      </w:r>
    </w:p>
    <w:p w14:paraId="55DFFB86" w14:textId="0CC1198D" w:rsidR="0079472D" w:rsidRDefault="0079472D" w:rsidP="00B113AB">
      <w:pPr>
        <w:spacing w:before="100" w:beforeAutospacing="1" w:after="100" w:afterAutospacing="1"/>
        <w:rPr>
          <w:rFonts w:eastAsia="Times New Roman" w:cs="Times New Roman"/>
          <w:szCs w:val="24"/>
          <w:lang w:eastAsia="mk-MK"/>
        </w:rPr>
      </w:pPr>
    </w:p>
    <w:p w14:paraId="66FDEFD7" w14:textId="29CA3BAC" w:rsidR="0079472D" w:rsidRPr="00605495" w:rsidRDefault="0079472D" w:rsidP="00B113AB">
      <w:pPr>
        <w:spacing w:before="100" w:beforeAutospacing="1" w:after="100" w:afterAutospacing="1"/>
        <w:rPr>
          <w:rFonts w:eastAsia="Times New Roman" w:cs="Times New Roman"/>
          <w:b/>
          <w:bCs/>
          <w:sz w:val="20"/>
          <w:szCs w:val="20"/>
          <w:lang w:eastAsia="mk-MK"/>
        </w:rPr>
      </w:pPr>
      <w:r w:rsidRPr="00605495">
        <w:rPr>
          <w:rFonts w:eastAsia="Times New Roman" w:cs="Times New Roman"/>
          <w:b/>
          <w:bCs/>
          <w:sz w:val="20"/>
          <w:szCs w:val="20"/>
          <w:lang w:eastAsia="mk-MK"/>
        </w:rPr>
        <w:t>Подготвил:</w:t>
      </w:r>
    </w:p>
    <w:p w14:paraId="4E600A4D" w14:textId="6347C15B" w:rsidR="0079472D" w:rsidRPr="00605495" w:rsidRDefault="0079472D" w:rsidP="00B113AB">
      <w:pPr>
        <w:spacing w:before="100" w:beforeAutospacing="1" w:after="100" w:afterAutospacing="1"/>
        <w:rPr>
          <w:rFonts w:eastAsia="Times New Roman" w:cs="Times New Roman"/>
          <w:b/>
          <w:bCs/>
          <w:sz w:val="20"/>
          <w:szCs w:val="20"/>
          <w:lang w:eastAsia="mk-MK"/>
        </w:rPr>
      </w:pPr>
      <w:r w:rsidRPr="00605495">
        <w:rPr>
          <w:rFonts w:eastAsia="Times New Roman" w:cs="Times New Roman"/>
          <w:b/>
          <w:bCs/>
          <w:sz w:val="20"/>
          <w:szCs w:val="20"/>
          <w:lang w:eastAsia="mk-MK"/>
        </w:rPr>
        <w:t>Оливер Серафимовски</w:t>
      </w:r>
    </w:p>
    <w:sectPr w:rsidR="0079472D" w:rsidRPr="006054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FC0C" w14:textId="77777777" w:rsidR="003F5B84" w:rsidRDefault="003F5B84" w:rsidP="00B113AB">
      <w:r>
        <w:separator/>
      </w:r>
    </w:p>
  </w:endnote>
  <w:endnote w:type="continuationSeparator" w:id="0">
    <w:p w14:paraId="59B38A5C" w14:textId="77777777" w:rsidR="003F5B84" w:rsidRDefault="003F5B84" w:rsidP="00B1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6F6A" w14:textId="77777777" w:rsidR="003F5B84" w:rsidRDefault="003F5B84" w:rsidP="00B113AB">
      <w:r>
        <w:separator/>
      </w:r>
    </w:p>
  </w:footnote>
  <w:footnote w:type="continuationSeparator" w:id="0">
    <w:p w14:paraId="00761228" w14:textId="77777777" w:rsidR="003F5B84" w:rsidRDefault="003F5B84" w:rsidP="00B113AB">
      <w:r>
        <w:continuationSeparator/>
      </w:r>
    </w:p>
  </w:footnote>
  <w:footnote w:id="1">
    <w:p w14:paraId="661D414B" w14:textId="6E2FA5F3" w:rsidR="00B113AB" w:rsidRDefault="00B113AB">
      <w:pPr>
        <w:pStyle w:val="FootnoteText"/>
      </w:pPr>
      <w:r>
        <w:rPr>
          <w:rStyle w:val="FootnoteReference"/>
        </w:rPr>
        <w:footnoteRef/>
      </w:r>
      <w:r>
        <w:t xml:space="preserve"> </w:t>
      </w:r>
      <w:r w:rsidRPr="00B113AB">
        <w:t>Open Government Partnership, Independent Reporting Mechanism (IRM), Regional and Country Reports, 2022–2024.</w:t>
      </w:r>
    </w:p>
  </w:footnote>
  <w:footnote w:id="2">
    <w:p w14:paraId="18BAC889" w14:textId="2788B189" w:rsidR="00B113AB" w:rsidRDefault="00B113AB">
      <w:pPr>
        <w:pStyle w:val="FootnoteText"/>
      </w:pPr>
      <w:r>
        <w:rPr>
          <w:rStyle w:val="FootnoteReference"/>
        </w:rPr>
        <w:footnoteRef/>
      </w:r>
      <w:r>
        <w:t xml:space="preserve"> </w:t>
      </w:r>
      <w:r w:rsidR="00D37638" w:rsidRPr="00D37638">
        <w:t>European Commission, Rule of Law Report 2024, sections on transparency, access to information and public 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315"/>
    <w:multiLevelType w:val="multilevel"/>
    <w:tmpl w:val="F590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654E9"/>
    <w:multiLevelType w:val="multilevel"/>
    <w:tmpl w:val="75D84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915B38"/>
    <w:multiLevelType w:val="multilevel"/>
    <w:tmpl w:val="7486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E23DD"/>
    <w:multiLevelType w:val="multilevel"/>
    <w:tmpl w:val="0222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E368D"/>
    <w:multiLevelType w:val="multilevel"/>
    <w:tmpl w:val="D994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3C"/>
    <w:rsid w:val="0010753C"/>
    <w:rsid w:val="001B3FB1"/>
    <w:rsid w:val="003E0717"/>
    <w:rsid w:val="003F5B84"/>
    <w:rsid w:val="00605495"/>
    <w:rsid w:val="00686F49"/>
    <w:rsid w:val="00791EFF"/>
    <w:rsid w:val="0079472D"/>
    <w:rsid w:val="008022B8"/>
    <w:rsid w:val="009437EF"/>
    <w:rsid w:val="00951F3A"/>
    <w:rsid w:val="009578E2"/>
    <w:rsid w:val="009C6E6A"/>
    <w:rsid w:val="00B113AB"/>
    <w:rsid w:val="00D37638"/>
    <w:rsid w:val="00D42586"/>
    <w:rsid w:val="00DE72BF"/>
    <w:rsid w:val="00E06BA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5F2D"/>
  <w15:chartTrackingRefBased/>
  <w15:docId w15:val="{E2B3FB71-C0EB-48F7-B594-BF241C51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tobiSerif Regular" w:eastAsiaTheme="minorHAnsi" w:hAnsi="StobiSerif Regular" w:cstheme="minorBidi"/>
        <w:sz w:val="24"/>
        <w:szCs w:val="22"/>
        <w:lang w:val="mk-M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13AB"/>
    <w:rPr>
      <w:sz w:val="20"/>
      <w:szCs w:val="20"/>
    </w:rPr>
  </w:style>
  <w:style w:type="character" w:customStyle="1" w:styleId="FootnoteTextChar">
    <w:name w:val="Footnote Text Char"/>
    <w:basedOn w:val="DefaultParagraphFont"/>
    <w:link w:val="FootnoteText"/>
    <w:uiPriority w:val="99"/>
    <w:semiHidden/>
    <w:rsid w:val="00B113AB"/>
    <w:rPr>
      <w:sz w:val="20"/>
      <w:szCs w:val="20"/>
    </w:rPr>
  </w:style>
  <w:style w:type="character" w:styleId="FootnoteReference">
    <w:name w:val="footnote reference"/>
    <w:basedOn w:val="DefaultParagraphFont"/>
    <w:uiPriority w:val="99"/>
    <w:semiHidden/>
    <w:unhideWhenUsed/>
    <w:rsid w:val="00B11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DD09A-30C1-446A-BCB7-F5C956AA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2026-01-13T23:01:00Z</dcterms:created>
  <dcterms:modified xsi:type="dcterms:W3CDTF">2026-01-20T12:34:00Z</dcterms:modified>
</cp:coreProperties>
</file>