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C66B4" w:rsidRDefault="00000000">
      <w:pPr>
        <w:spacing w:after="280" w:line="240" w:lineRule="auto"/>
        <w:jc w:val="center"/>
        <w:rPr>
          <w:rFonts w:ascii="StobiSerif Regular" w:eastAsia="StobiSerif Regular" w:hAnsi="StobiSerif Regular" w:cs="StobiSerif Regular"/>
          <w:b/>
          <w:bCs/>
          <w:sz w:val="28"/>
          <w:szCs w:val="28"/>
        </w:rPr>
      </w:pPr>
      <w:r>
        <w:rPr>
          <w:rFonts w:ascii="StobiSerif Regular" w:eastAsia="StobiSerif Regular" w:hAnsi="StobiSerif Regular" w:cs="StobiSerif Regular"/>
          <w:b/>
          <w:bCs/>
          <w:sz w:val="28"/>
          <w:szCs w:val="28"/>
        </w:rPr>
        <w:t>THE ESTONIAN DIGITAL STATE MODEL AND THE RIGHT TO ACCESS TO INFORMATION: LESSONS LEARNED FROM THE STUDY VISIT</w:t>
      </w:r>
    </w:p>
    <w:p w14:paraId="00000002"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 xml:space="preserve">Within the framework of the Twinning Light project "Supporting Free Access to Information - Rising Together", funded by the Delegation of the European Union to the Republic of North Macedonia, a study </w:t>
      </w:r>
      <w:proofErr w:type="gramStart"/>
      <w:r>
        <w:rPr>
          <w:rFonts w:ascii="StobiSerif Regular" w:eastAsia="StobiSerif Regular" w:hAnsi="StobiSerif Regular" w:cs="StobiSerif Regular"/>
          <w:sz w:val="24"/>
          <w:szCs w:val="24"/>
        </w:rPr>
        <w:t>visit</w:t>
      </w:r>
      <w:proofErr w:type="gramEnd"/>
      <w:r>
        <w:rPr>
          <w:rFonts w:ascii="StobiSerif Regular" w:eastAsia="StobiSerif Regular" w:hAnsi="StobiSerif Regular" w:cs="StobiSerif Regular"/>
          <w:sz w:val="24"/>
          <w:szCs w:val="24"/>
        </w:rPr>
        <w:t xml:space="preserve"> to Tallinn, Estonia, was carried out by representatives of the Agency for the Protection of the Right to Free Access to Public Information. The visit aimed to directly familiarize themselves with the Estonian model of a digital state, institutional interoperability, the use of open data in the public sector, as well as their impact on transparency and the right to access information.</w:t>
      </w:r>
    </w:p>
    <w:p w14:paraId="00000003"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Through meetings with key institutions – the Ministry of Foreign Affairs, the Information Systems Authority (ISA), e-Governance Academy, the Ministry of Justice and Digital Affairs (MJDA) and the Data Protection Inspectorate (DPI) – the Agency representatives were introduced to Estonia's systemic approach to digitalization, which is based on a high level of interoperability, centralized technical coordination and a strong culture of openness and accountability.</w:t>
      </w:r>
    </w:p>
    <w:p w14:paraId="00000004"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The study visit provides a practical and empirical framework through which theoretical and analytical insights are confirmed, concretized and further deepened. In this context, the focus is also expanded to the broader digital ecosystem of Estonia, with a special emphasis on digital public services, secure and interoperable data exchange through X-Road, the use of open data as a functional format for governance and the transparency of algorithmic systems in the public interest.</w:t>
      </w:r>
    </w:p>
    <w:p w14:paraId="00000005" w14:textId="77777777" w:rsidR="00AC66B4" w:rsidRDefault="00000000">
      <w:pPr>
        <w:spacing w:before="280" w:after="280" w:line="240" w:lineRule="auto"/>
        <w:jc w:val="both"/>
        <w:rPr>
          <w:rFonts w:ascii="StobiSerif Regular" w:eastAsia="StobiSerif Regular" w:hAnsi="StobiSerif Regular" w:cs="StobiSerif Regular"/>
          <w:b/>
          <w:bCs/>
          <w:sz w:val="27"/>
          <w:szCs w:val="27"/>
          <w:u w:val="single"/>
        </w:rPr>
      </w:pPr>
      <w:r>
        <w:rPr>
          <w:rFonts w:ascii="StobiSerif Regular" w:eastAsia="StobiSerif Regular" w:hAnsi="StobiSerif Regular" w:cs="StobiSerif Regular"/>
          <w:b/>
          <w:bCs/>
          <w:sz w:val="27"/>
          <w:szCs w:val="27"/>
          <w:u w:val="single"/>
        </w:rPr>
        <w:t>Key features of the Estonian model</w:t>
      </w:r>
    </w:p>
    <w:p w14:paraId="00000006" w14:textId="77777777" w:rsidR="00AC66B4" w:rsidRDefault="00000000">
      <w:pPr>
        <w:spacing w:before="280" w:after="280" w:line="240" w:lineRule="auto"/>
        <w:jc w:val="both"/>
        <w:rPr>
          <w:rFonts w:ascii="StobiSerif Regular" w:eastAsia="StobiSerif Regular" w:hAnsi="StobiSerif Regular" w:cs="StobiSerif Regular"/>
          <w:b/>
          <w:bCs/>
          <w:sz w:val="24"/>
          <w:szCs w:val="24"/>
        </w:rPr>
      </w:pPr>
      <w:r>
        <w:rPr>
          <w:rFonts w:ascii="StobiSerif Regular" w:eastAsia="StobiSerif Regular" w:hAnsi="StobiSerif Regular" w:cs="StobiSerif Regular"/>
          <w:b/>
          <w:bCs/>
          <w:sz w:val="24"/>
          <w:szCs w:val="24"/>
        </w:rPr>
        <w:t>Estonia as a digital state and institutional model</w:t>
      </w:r>
    </w:p>
    <w:p w14:paraId="00000007"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 xml:space="preserve">Estonia is among the most advanced digital countries in Europe, with a highly developed technical and institutional infrastructure that enables the full digitalization of public services. The basis of this model is the platform </w:t>
      </w:r>
      <w:r>
        <w:rPr>
          <w:rFonts w:ascii="StobiSerif Regular" w:eastAsia="StobiSerif Regular" w:hAnsi="StobiSerif Regular" w:cs="StobiSerif Regular"/>
          <w:b/>
          <w:bCs/>
          <w:sz w:val="24"/>
          <w:szCs w:val="24"/>
        </w:rPr>
        <w:t>X-Road</w:t>
      </w:r>
      <w:r>
        <w:rPr>
          <w:rFonts w:ascii="StobiSerif Regular" w:eastAsia="StobiSerif Regular" w:hAnsi="StobiSerif Regular" w:cs="StobiSerif Regular"/>
          <w:sz w:val="24"/>
          <w:szCs w:val="24"/>
        </w:rPr>
        <w:t>, which provides secure, standardized and interoperable data exchange between institutions. Instead of centralized data storage, X-Road allows institutions to keep data on their own, but at the same time share it in real time, with full records and tracking of access to it.</w:t>
      </w:r>
    </w:p>
    <w:p w14:paraId="00000008"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lastRenderedPageBreak/>
        <w:t xml:space="preserve">The development of the digital state is based on clearly defined </w:t>
      </w:r>
      <w:r>
        <w:rPr>
          <w:rFonts w:ascii="StobiSerif Regular" w:eastAsia="StobiSerif Regular" w:hAnsi="StobiSerif Regular" w:cs="StobiSerif Regular"/>
          <w:b/>
          <w:bCs/>
          <w:sz w:val="24"/>
          <w:szCs w:val="24"/>
        </w:rPr>
        <w:t>building-blocks</w:t>
      </w:r>
      <w:r>
        <w:rPr>
          <w:rFonts w:ascii="StobiSerif Regular" w:eastAsia="StobiSerif Regular" w:hAnsi="StobiSerif Regular" w:cs="StobiSerif Regular"/>
          <w:sz w:val="24"/>
          <w:szCs w:val="24"/>
        </w:rPr>
        <w:t>– modular digital components, services and functionalities that can be reused across multiple institutions. The Ministry of Economic Affairs and Communications (MEAC) and the Estonian Information Systems Authority (ISA) have a central role in their coordination, standardization and implementation. Such an approach reduces institutional inconsistency, facilitates interoperability and establishes unified standards for transparency and accountability.</w:t>
      </w:r>
    </w:p>
    <w:p w14:paraId="00000009" w14:textId="77777777" w:rsidR="00AC66B4" w:rsidRDefault="00000000">
      <w:pPr>
        <w:spacing w:before="280" w:after="280" w:line="240" w:lineRule="auto"/>
        <w:jc w:val="both"/>
        <w:rPr>
          <w:rFonts w:ascii="StobiSerif Regular" w:eastAsia="StobiSerif Regular" w:hAnsi="StobiSerif Regular" w:cs="StobiSerif Regular"/>
          <w:b/>
          <w:bCs/>
          <w:sz w:val="24"/>
          <w:szCs w:val="24"/>
        </w:rPr>
      </w:pPr>
      <w:r>
        <w:rPr>
          <w:rFonts w:ascii="StobiSerif Regular" w:eastAsia="StobiSerif Regular" w:hAnsi="StobiSerif Regular" w:cs="StobiSerif Regular"/>
          <w:b/>
          <w:bCs/>
          <w:sz w:val="24"/>
          <w:szCs w:val="24"/>
        </w:rPr>
        <w:t>The Estonian model of digital public services and interoperability</w:t>
      </w:r>
    </w:p>
    <w:p w14:paraId="0000000A"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 xml:space="preserve">One of the most recognizable elements of the Estonian model is the development of fully digital public services, which are designed according to the principle of "digital by default". Citizens and legal entities have access to almost all public services through single digital channels, using secure electronic identification and digital signature. The services are organized in such a way that institutions do not request data that the state already possesses, which directly increases efficiency, reduces administrative burden, </w:t>
      </w:r>
      <w:proofErr w:type="gramStart"/>
      <w:r>
        <w:rPr>
          <w:rFonts w:ascii="StobiSerif Regular" w:eastAsia="StobiSerif Regular" w:hAnsi="StobiSerif Regular" w:cs="StobiSerif Regular"/>
          <w:sz w:val="24"/>
          <w:szCs w:val="24"/>
        </w:rPr>
        <w:t>i.e.</w:t>
      </w:r>
      <w:proofErr w:type="gramEnd"/>
      <w:r>
        <w:rPr>
          <w:rFonts w:ascii="StobiSerif Regular" w:eastAsia="StobiSerif Regular" w:hAnsi="StobiSerif Regular" w:cs="StobiSerif Regular"/>
          <w:sz w:val="24"/>
          <w:szCs w:val="24"/>
        </w:rPr>
        <w:t xml:space="preserve"> the need for re-submission of documents, additional procedures and human interventions in the administrative process, and minimizes the risk of arbitrary action.</w:t>
      </w:r>
    </w:p>
    <w:p w14:paraId="0000000B"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Interoperability between institutions is enabled through the X-Road infrastructure, which is not only a technical platform, but also a transparency mechanism. Every access to data is recorded, and citizens have the opportunity to check which institution accessed their data, when and for what purpose. This practice creates a high level of trust and is an essential guarantee for the accountability of the administration.</w:t>
      </w:r>
    </w:p>
    <w:p w14:paraId="0000000C" w14:textId="77777777" w:rsidR="00AC66B4" w:rsidRDefault="00000000">
      <w:pPr>
        <w:spacing w:before="280" w:after="280" w:line="240" w:lineRule="auto"/>
        <w:jc w:val="both"/>
        <w:rPr>
          <w:rFonts w:ascii="StobiSerif Regular" w:eastAsia="StobiSerif Regular" w:hAnsi="StobiSerif Regular" w:cs="StobiSerif Regular"/>
          <w:b/>
          <w:bCs/>
          <w:sz w:val="24"/>
          <w:szCs w:val="24"/>
        </w:rPr>
      </w:pPr>
      <w:r>
        <w:rPr>
          <w:rFonts w:ascii="StobiSerif Regular" w:eastAsia="StobiSerif Regular" w:hAnsi="StobiSerif Regular" w:cs="StobiSerif Regular"/>
          <w:b/>
          <w:bCs/>
          <w:sz w:val="24"/>
          <w:szCs w:val="24"/>
        </w:rPr>
        <w:t>Open data as a functional management format</w:t>
      </w:r>
    </w:p>
    <w:p w14:paraId="0000000D"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In addition to digital services, open data is an integral part of the functioning of public administration in Estonia. It does not treat open data solely as a transparency tool, but as an operational format that enables data reuse, the development of innovative services for citizens and the business community, and better informing the public.</w:t>
      </w:r>
    </w:p>
    <w:p w14:paraId="0000000E"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 xml:space="preserve">The data is published in machine-readable formats, with clear metadata and usage licenses, which allows for easy analysis, linking and reuse by citizens, the media, civil society organizations and the private sector. This approach is particularly important for the right to access information, as the proactive publication of structured data </w:t>
      </w:r>
      <w:r>
        <w:rPr>
          <w:rFonts w:ascii="StobiSerif Regular" w:eastAsia="StobiSerif Regular" w:hAnsi="StobiSerif Regular" w:cs="StobiSerif Regular"/>
          <w:sz w:val="24"/>
          <w:szCs w:val="24"/>
        </w:rPr>
        <w:lastRenderedPageBreak/>
        <w:t>reduces the number of individual requests and limits the risk of administrative silence.</w:t>
      </w:r>
    </w:p>
    <w:p w14:paraId="0000000F"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Open data has a dual role: on the one hand, it represents a source for training and testing algorithmic models in the public sector, as regards the development of artificial intelligence, and on the other hand, it enables public scrutiny and analysis of the effects of digital policies. In this way, open data is positioned as a bridge between digital services, algorithmic transparency and the effective exercise of the right to access information.</w:t>
      </w:r>
    </w:p>
    <w:p w14:paraId="00000010" w14:textId="77777777" w:rsidR="00AC66B4" w:rsidRDefault="00000000">
      <w:pPr>
        <w:spacing w:before="280" w:after="280" w:line="240" w:lineRule="auto"/>
        <w:jc w:val="both"/>
        <w:rPr>
          <w:rFonts w:ascii="StobiSerif Regular" w:eastAsia="StobiSerif Regular" w:hAnsi="StobiSerif Regular" w:cs="StobiSerif Regular"/>
          <w:b/>
          <w:bCs/>
          <w:sz w:val="24"/>
          <w:szCs w:val="24"/>
        </w:rPr>
      </w:pPr>
      <w:r>
        <w:rPr>
          <w:rFonts w:ascii="StobiSerif Regular" w:eastAsia="StobiSerif Regular" w:hAnsi="StobiSerif Regular" w:cs="StobiSerif Regular"/>
          <w:b/>
          <w:bCs/>
          <w:sz w:val="24"/>
          <w:szCs w:val="24"/>
        </w:rPr>
        <w:t>Application of artificial intelligence and the Kratt strategy</w:t>
      </w:r>
    </w:p>
    <w:p w14:paraId="00000011"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By the end of 2023, over 120 digital solutions using artificial intelligence will have been developed in the Estonian public sector, coordinated at the national level through their Kratt strategy. This strategy places AI at a high level, as a support for public policies and services, rather than an end in itself, while insisting on human oversight, legal predictability and transparency.</w:t>
      </w:r>
    </w:p>
    <w:p w14:paraId="00000012"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The use of AI creates new types of official records – metadata about models, decision logs, records of data used and improved versions of systems. This information becomes relevant in terms of the right to free access to information and requires a clear definition of what constitutes an “official document” in the context of automated decision-making, such as the example of Estonia.</w:t>
      </w:r>
    </w:p>
    <w:p w14:paraId="00000013" w14:textId="77777777" w:rsidR="00AC66B4" w:rsidRDefault="00000000">
      <w:pPr>
        <w:spacing w:before="280" w:after="280" w:line="240" w:lineRule="auto"/>
        <w:jc w:val="both"/>
        <w:rPr>
          <w:rFonts w:ascii="StobiSerif Regular" w:eastAsia="StobiSerif Regular" w:hAnsi="StobiSerif Regular" w:cs="StobiSerif Regular"/>
          <w:b/>
          <w:bCs/>
          <w:sz w:val="24"/>
          <w:szCs w:val="24"/>
        </w:rPr>
      </w:pPr>
      <w:r>
        <w:rPr>
          <w:rFonts w:ascii="StobiSerif Regular" w:eastAsia="StobiSerif Regular" w:hAnsi="StobiSerif Regular" w:cs="StobiSerif Regular"/>
          <w:b/>
          <w:bCs/>
          <w:sz w:val="24"/>
          <w:szCs w:val="24"/>
        </w:rPr>
        <w:t>Implications for access to information</w:t>
      </w:r>
    </w:p>
    <w:p w14:paraId="00000014"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The application of AI significantly expands the scope of information that can be subject to access to information requests. At the same time, there is a need to balance transparency and personal data protection, especially in the context of the GDPR (EU General Data Protection Regulation). Estonia applies an approach of technological neutrality, whereby existing legal mechanisms – the Constitution, the Administrative Procedure Act and the Personal Data Protection Regulation – are used as the basis for regulating AI, supplemented by European standards.</w:t>
      </w:r>
    </w:p>
    <w:p w14:paraId="00000015" w14:textId="77777777" w:rsidR="00AC66B4" w:rsidRDefault="00000000">
      <w:pPr>
        <w:spacing w:before="280" w:after="280" w:line="240" w:lineRule="auto"/>
        <w:jc w:val="both"/>
        <w:rPr>
          <w:rFonts w:ascii="StobiSerif Regular" w:eastAsia="StobiSerif Regular" w:hAnsi="StobiSerif Regular" w:cs="StobiSerif Regular"/>
          <w:b/>
          <w:bCs/>
          <w:sz w:val="24"/>
          <w:szCs w:val="24"/>
        </w:rPr>
      </w:pPr>
      <w:r>
        <w:rPr>
          <w:rFonts w:ascii="StobiSerif Regular" w:eastAsia="StobiSerif Regular" w:hAnsi="StobiSerif Regular" w:cs="StobiSerif Regular"/>
          <w:b/>
          <w:bCs/>
          <w:sz w:val="24"/>
          <w:szCs w:val="24"/>
        </w:rPr>
        <w:t>Centralized support, open source and auditability</w:t>
      </w:r>
    </w:p>
    <w:p w14:paraId="00000016"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 xml:space="preserve">A significant feature of the Estonian model is </w:t>
      </w:r>
      <w:r>
        <w:rPr>
          <w:rFonts w:ascii="StobiSerif Regular" w:eastAsia="StobiSerif Regular" w:hAnsi="StobiSerif Regular" w:cs="StobiSerif Regular"/>
          <w:b/>
          <w:bCs/>
          <w:sz w:val="24"/>
          <w:szCs w:val="24"/>
        </w:rPr>
        <w:t xml:space="preserve">the systemic obligation to use and publish open source </w:t>
      </w:r>
      <w:r>
        <w:rPr>
          <w:rFonts w:ascii="StobiSerif Regular" w:eastAsia="StobiSerif Regular" w:hAnsi="StobiSerif Regular" w:cs="StobiSerif Regular"/>
          <w:sz w:val="24"/>
          <w:szCs w:val="24"/>
        </w:rPr>
        <w:t xml:space="preserve">in digital solutions and AI systems that are funded or supported by the state. This approach allows </w:t>
      </w:r>
      <w:r>
        <w:rPr>
          <w:rFonts w:ascii="StobiSerif Regular" w:eastAsia="StobiSerif Regular" w:hAnsi="StobiSerif Regular" w:cs="StobiSerif Regular"/>
          <w:b/>
          <w:bCs/>
          <w:sz w:val="24"/>
          <w:szCs w:val="24"/>
        </w:rPr>
        <w:t xml:space="preserve">public verifiability and auditability </w:t>
      </w:r>
      <w:r>
        <w:rPr>
          <w:rFonts w:ascii="StobiSerif Regular" w:eastAsia="StobiSerif Regular" w:hAnsi="StobiSerif Regular" w:cs="StobiSerif Regular"/>
          <w:sz w:val="24"/>
          <w:szCs w:val="24"/>
        </w:rPr>
        <w:t xml:space="preserve">of </w:t>
      </w:r>
      <w:r>
        <w:rPr>
          <w:rFonts w:ascii="StobiSerif Regular" w:eastAsia="StobiSerif Regular" w:hAnsi="StobiSerif Regular" w:cs="StobiSerif Regular"/>
          <w:sz w:val="24"/>
          <w:szCs w:val="24"/>
        </w:rPr>
        <w:lastRenderedPageBreak/>
        <w:t>the systems, strengthens citizens' trust and creates favorable conditions for the effective implementation of the right to free access to information, especially in the context of automated decision-making.</w:t>
      </w:r>
    </w:p>
    <w:p w14:paraId="00000017"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Centralized technical and strategic support by the Ministry of Economy and Communications (MEAC) and the Information Systems Administration (ISA) ensures standardization, interoperability and consistent application of the principles of transparency, accountability and monitoring of procedures. In this way, auditability is not treated as an additional control, but as a built-in feature of digital systems.</w:t>
      </w:r>
    </w:p>
    <w:p w14:paraId="00000018" w14:textId="77777777" w:rsidR="00AC66B4" w:rsidRDefault="00000000">
      <w:pPr>
        <w:spacing w:before="280" w:after="280" w:line="240" w:lineRule="auto"/>
        <w:jc w:val="both"/>
        <w:rPr>
          <w:rFonts w:ascii="StobiSerif Regular" w:eastAsia="StobiSerif Regular" w:hAnsi="StobiSerif Regular" w:cs="StobiSerif Regular"/>
          <w:b/>
          <w:bCs/>
          <w:sz w:val="24"/>
          <w:szCs w:val="24"/>
        </w:rPr>
      </w:pPr>
      <w:r>
        <w:rPr>
          <w:rFonts w:ascii="StobiSerif Regular" w:eastAsia="StobiSerif Regular" w:hAnsi="StobiSerif Regular" w:cs="StobiSerif Regular"/>
          <w:b/>
          <w:bCs/>
          <w:sz w:val="24"/>
          <w:szCs w:val="24"/>
        </w:rPr>
        <w:t>Experiences from public-private partnership in the Estonian digital model</w:t>
      </w:r>
    </w:p>
    <w:p w14:paraId="00000019"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One of the key factors for the success of Estonia's digital transformation is the systematic and long-term development of public-private partnerships, especially in the areas of digital services, cybersecurity, artificial intelligence and data management. Instead of ad-hoc engagements, Estonia is establishing structured cooperation between state institutions, technology companies, the startup community and the academic sector, with clearly defined roles, standards and protection of the public interest.</w:t>
      </w:r>
    </w:p>
    <w:p w14:paraId="0000001A"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The Estonian model is based on the fact that the state retains strategic and regulatory control, while the private sector contributes with technical expertise, innovative solutions and rapid adaptation to technological changes. Through institutions such as the e-Governance Academy, ISA and line ministries, an environment is created in which private companies participate in the development of digital solutions that later become part of the public infrastructure, often based on open source and open standards.</w:t>
      </w:r>
    </w:p>
    <w:p w14:paraId="0000001B"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A key principle is that public-private partnerships do not undermine transparency, but rather the opposite – through contractual obligations for auditability, security, and compliance with the Law on Public Information and the Law on Personal Data Protection, public oversight and accountability are ensured even for commercially developed solutions.</w:t>
      </w:r>
    </w:p>
    <w:p w14:paraId="0000001C" w14:textId="77777777" w:rsidR="00AC66B4" w:rsidRDefault="00000000">
      <w:pPr>
        <w:spacing w:before="280" w:after="280" w:line="240" w:lineRule="auto"/>
        <w:jc w:val="both"/>
        <w:rPr>
          <w:rFonts w:ascii="StobiSerif Regular" w:eastAsia="StobiSerif Regular" w:hAnsi="StobiSerif Regular" w:cs="StobiSerif Regular"/>
          <w:b/>
          <w:bCs/>
          <w:sz w:val="24"/>
          <w:szCs w:val="24"/>
        </w:rPr>
      </w:pPr>
      <w:r>
        <w:rPr>
          <w:rFonts w:ascii="StobiSerif Regular" w:eastAsia="StobiSerif Regular" w:hAnsi="StobiSerif Regular" w:cs="StobiSerif Regular"/>
          <w:b/>
          <w:bCs/>
          <w:sz w:val="24"/>
          <w:szCs w:val="24"/>
        </w:rPr>
        <w:t>Public-private partnership as a factor of trust</w:t>
      </w:r>
    </w:p>
    <w:p w14:paraId="0000001D"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 xml:space="preserve">The experience from Estonia shows that public-private partnerships can be </w:t>
      </w:r>
      <w:r>
        <w:rPr>
          <w:rFonts w:ascii="StobiSerif Regular" w:eastAsia="StobiSerif Regular" w:hAnsi="StobiSerif Regular" w:cs="StobiSerif Regular"/>
          <w:b/>
          <w:bCs/>
          <w:sz w:val="24"/>
          <w:szCs w:val="24"/>
        </w:rPr>
        <w:t>source of trust</w:t>
      </w:r>
      <w:r>
        <w:rPr>
          <w:rFonts w:ascii="StobiSerif Regular" w:eastAsia="StobiSerif Regular" w:hAnsi="StobiSerif Regular" w:cs="StobiSerif Regular"/>
          <w:sz w:val="24"/>
          <w:szCs w:val="24"/>
        </w:rPr>
        <w:t xml:space="preserve">, and not risk, if it is based on clear rules, openness and institutional </w:t>
      </w:r>
      <w:r>
        <w:rPr>
          <w:rFonts w:ascii="StobiSerif Regular" w:eastAsia="StobiSerif Regular" w:hAnsi="StobiSerif Regular" w:cs="StobiSerif Regular"/>
          <w:sz w:val="24"/>
          <w:szCs w:val="24"/>
        </w:rPr>
        <w:lastRenderedPageBreak/>
        <w:t xml:space="preserve">oversight. This approach was also emphasized during the study visit: </w:t>
      </w:r>
      <w:r>
        <w:rPr>
          <w:rFonts w:ascii="StobiSerif Regular" w:eastAsia="StobiSerif Regular" w:hAnsi="StobiSerif Regular" w:cs="StobiSerif Regular"/>
          <w:b/>
          <w:bCs/>
          <w:sz w:val="24"/>
          <w:szCs w:val="24"/>
        </w:rPr>
        <w:t>Citizens trust the system because they know there are rules, traces, and accountability</w:t>
      </w:r>
      <w:r>
        <w:rPr>
          <w:rFonts w:ascii="StobiSerif Regular" w:eastAsia="StobiSerif Regular" w:hAnsi="StobiSerif Regular" w:cs="StobiSerif Regular"/>
          <w:sz w:val="24"/>
          <w:szCs w:val="24"/>
        </w:rPr>
        <w:t>, regardless of whether the solution is developed by a public or private entity.</w:t>
      </w:r>
    </w:p>
    <w:p w14:paraId="0000001E" w14:textId="77777777" w:rsidR="00AC66B4" w:rsidRDefault="00000000">
      <w:pPr>
        <w:spacing w:before="280" w:after="280" w:line="240" w:lineRule="auto"/>
        <w:jc w:val="both"/>
        <w:rPr>
          <w:rFonts w:ascii="StobiSerif Regular" w:eastAsia="StobiSerif Regular" w:hAnsi="StobiSerif Regular" w:cs="StobiSerif Regular"/>
          <w:b/>
          <w:bCs/>
          <w:sz w:val="24"/>
          <w:szCs w:val="24"/>
        </w:rPr>
      </w:pPr>
      <w:r>
        <w:rPr>
          <w:rFonts w:ascii="StobiSerif Regular" w:eastAsia="StobiSerif Regular" w:hAnsi="StobiSerif Regular" w:cs="StobiSerif Regular"/>
          <w:b/>
          <w:bCs/>
          <w:sz w:val="24"/>
          <w:szCs w:val="24"/>
        </w:rPr>
        <w:t>Comparative review: Estonia and North Macedonia – digital services and open data</w:t>
      </w:r>
    </w:p>
    <w:p w14:paraId="0000001F"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 xml:space="preserve">Compared to the Estonian model, the digital transformation in North Macedonia is characterized by </w:t>
      </w:r>
      <w:r>
        <w:rPr>
          <w:rFonts w:ascii="StobiSerif Regular" w:eastAsia="StobiSerif Regular" w:hAnsi="StobiSerif Regular" w:cs="StobiSerif Regular"/>
          <w:b/>
          <w:bCs/>
          <w:sz w:val="24"/>
          <w:szCs w:val="24"/>
        </w:rPr>
        <w:t>fragmented development of digital services</w:t>
      </w:r>
      <w:r>
        <w:rPr>
          <w:rFonts w:ascii="StobiSerif Regular" w:eastAsia="StobiSerif Regular" w:hAnsi="StobiSerif Regular" w:cs="StobiSerif Regular"/>
          <w:sz w:val="24"/>
          <w:szCs w:val="24"/>
        </w:rPr>
        <w:t>, limited interoperability between institutions and insufficient use of open data as a tool for proactive transparency. While in Estonia digital services are designed as an integrated ecosystem, in which institutions exchange data in real time via X-Road and apply the “once-only” principle, in the Macedonian context citizens still often face the problem of repeatedly submitting the same documents to different institutions.</w:t>
      </w:r>
    </w:p>
    <w:p w14:paraId="00000020"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 xml:space="preserve">In terms of transparency, Estonia embeds the logic of access to information in the very construction of digital systems, through access monitoring, metadata standards and clear rules for open data. In North Macedonia, access to information still largely depends on reactive transparency, </w:t>
      </w:r>
      <w:proofErr w:type="gramStart"/>
      <w:r>
        <w:rPr>
          <w:rFonts w:ascii="StobiSerif Regular" w:eastAsia="StobiSerif Regular" w:hAnsi="StobiSerif Regular" w:cs="StobiSerif Regular"/>
          <w:sz w:val="24"/>
          <w:szCs w:val="24"/>
        </w:rPr>
        <w:t>i.e.</w:t>
      </w:r>
      <w:proofErr w:type="gramEnd"/>
      <w:r>
        <w:rPr>
          <w:rFonts w:ascii="StobiSerif Regular" w:eastAsia="StobiSerif Regular" w:hAnsi="StobiSerif Regular" w:cs="StobiSerif Regular"/>
          <w:sz w:val="24"/>
          <w:szCs w:val="24"/>
        </w:rPr>
        <w:t xml:space="preserve"> on request-based procedures, with proactive publication of structured and machine-readable data being uneven and institutionally inconsistent.</w:t>
      </w:r>
    </w:p>
    <w:p w14:paraId="00000021"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This difference indicates that the challenges in North Macedonia are not exclusively technical, but also institutional and organizational–related to a lack of central coordination, clear standards, and a long-term vision for digital services and open data as an integral part of the right to access information.</w:t>
      </w:r>
    </w:p>
    <w:p w14:paraId="00000022" w14:textId="77777777" w:rsidR="00AC66B4" w:rsidRDefault="00000000">
      <w:pPr>
        <w:spacing w:after="280" w:line="240" w:lineRule="auto"/>
        <w:jc w:val="both"/>
        <w:rPr>
          <w:rFonts w:ascii="StobiSerif Regular" w:eastAsia="StobiSerif Regular" w:hAnsi="StobiSerif Regular" w:cs="StobiSerif Regular"/>
          <w:b/>
          <w:bCs/>
          <w:sz w:val="24"/>
          <w:szCs w:val="24"/>
        </w:rPr>
      </w:pPr>
      <w:r>
        <w:rPr>
          <w:rFonts w:ascii="StobiSerif Regular" w:eastAsia="StobiSerif Regular" w:hAnsi="StobiSerif Regular" w:cs="StobiSerif Regular"/>
          <w:b/>
          <w:bCs/>
          <w:sz w:val="24"/>
          <w:szCs w:val="24"/>
        </w:rPr>
        <w:t>Recommendations for implementing the Estonian Digital Model in North Macedonia</w:t>
      </w:r>
    </w:p>
    <w:p w14:paraId="00000023" w14:textId="77777777" w:rsidR="00AC66B4" w:rsidRDefault="00000000">
      <w:pPr>
        <w:spacing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The successful digital transformation of public administration is not the result of isolated technological solutions, but of a long-term, strategic, and institutionally coordinated policy. For North Macedonia, it is crucial to overcome the fragmented development of digital services, limited interoperability, and insufficient use of open data.</w:t>
      </w:r>
    </w:p>
    <w:p w14:paraId="00000024" w14:textId="77777777" w:rsidR="00AC66B4" w:rsidRDefault="00000000">
      <w:pPr>
        <w:spacing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The recommendations are structured into three strategic areas, aiming to establish a model that is efficient, secure, and transparent.</w:t>
      </w:r>
    </w:p>
    <w:p w14:paraId="00000025" w14:textId="77777777" w:rsidR="00AC66B4" w:rsidRDefault="00000000">
      <w:pPr>
        <w:spacing w:after="280" w:line="240" w:lineRule="auto"/>
        <w:jc w:val="both"/>
        <w:rPr>
          <w:rFonts w:ascii="StobiSerif Regular" w:eastAsia="StobiSerif Regular" w:hAnsi="StobiSerif Regular" w:cs="StobiSerif Regular"/>
          <w:b/>
          <w:bCs/>
          <w:sz w:val="27"/>
          <w:szCs w:val="27"/>
        </w:rPr>
      </w:pPr>
      <w:r>
        <w:rPr>
          <w:rFonts w:ascii="StobiSerif Regular" w:eastAsia="StobiSerif Regular" w:hAnsi="StobiSerif Regular" w:cs="StobiSerif Regular"/>
          <w:b/>
          <w:bCs/>
          <w:sz w:val="24"/>
          <w:szCs w:val="24"/>
        </w:rPr>
        <w:lastRenderedPageBreak/>
        <w:t>Institutional and Technical Framework (Interoperability Prerequisites)</w:t>
      </w:r>
    </w:p>
    <w:p w14:paraId="00000026" w14:textId="77777777" w:rsidR="00AC66B4" w:rsidRDefault="00000000">
      <w:pPr>
        <w:spacing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The main goal is to establish centralized technical support and interoperability.</w:t>
      </w:r>
    </w:p>
    <w:p w14:paraId="00000027" w14:textId="77777777" w:rsidR="00AC66B4" w:rsidRDefault="00000000">
      <w:pPr>
        <w:numPr>
          <w:ilvl w:val="0"/>
          <w:numId w:val="3"/>
        </w:numPr>
        <w:spacing w:after="280" w:line="240" w:lineRule="auto"/>
        <w:jc w:val="both"/>
        <w:rPr>
          <w:rFonts w:ascii="Noto Sans Symbols" w:eastAsia="Noto Sans Symbols" w:hAnsi="Noto Sans Symbols" w:cs="Noto Sans Symbols"/>
          <w:sz w:val="20"/>
          <w:szCs w:val="20"/>
        </w:rPr>
      </w:pPr>
      <w:r>
        <w:rPr>
          <w:rFonts w:ascii="StobiSerif Regular" w:eastAsia="StobiSerif Regular" w:hAnsi="StobiSerif Regular" w:cs="StobiSerif Regular"/>
          <w:sz w:val="24"/>
          <w:szCs w:val="24"/>
        </w:rPr>
        <w:t>It is necessary to strengthen or establish a central body (similar to the Information Systems Authority – ISA in Estonia) with a clear mandate, strategic and regulatory control to coordinate all digital solutions and provide centralized technical support. This will reduce institutional inconsistency.</w:t>
      </w:r>
    </w:p>
    <w:p w14:paraId="00000028" w14:textId="77777777" w:rsidR="00AC66B4" w:rsidRDefault="00000000">
      <w:pPr>
        <w:numPr>
          <w:ilvl w:val="0"/>
          <w:numId w:val="2"/>
        </w:numPr>
        <w:spacing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To establish a mandatory, standardized and secure interoperable platform for data exchange</w:t>
      </w:r>
      <w:r>
        <w:rPr>
          <w:rFonts w:ascii="StobiSerif Regular" w:eastAsia="StobiSerif Regular" w:hAnsi="StobiSerif Regular" w:cs="StobiSerif Regular"/>
          <w:b/>
          <w:bCs/>
          <w:sz w:val="24"/>
          <w:szCs w:val="24"/>
        </w:rPr>
        <w:t xml:space="preserve"> </w:t>
      </w:r>
      <w:r>
        <w:rPr>
          <w:rFonts w:ascii="StobiSerif Regular" w:eastAsia="StobiSerif Regular" w:hAnsi="StobiSerif Regular" w:cs="StobiSerif Regular"/>
          <w:sz w:val="24"/>
          <w:szCs w:val="24"/>
        </w:rPr>
        <w:t>between institutions, which operates on the principle of decentralized storage, similar to X-Road. This platform should not be only technical, but also a transparency mechanism.</w:t>
      </w:r>
    </w:p>
    <w:p w14:paraId="00000029" w14:textId="77777777" w:rsidR="00AC66B4" w:rsidRDefault="00000000">
      <w:pPr>
        <w:numPr>
          <w:ilvl w:val="0"/>
          <w:numId w:val="3"/>
        </w:numPr>
        <w:spacing w:after="280" w:line="240" w:lineRule="auto"/>
        <w:jc w:val="both"/>
        <w:rPr>
          <w:rFonts w:ascii="Noto Sans Symbols" w:eastAsia="Noto Sans Symbols" w:hAnsi="Noto Sans Symbols" w:cs="Noto Sans Symbols"/>
          <w:sz w:val="20"/>
          <w:szCs w:val="20"/>
        </w:rPr>
      </w:pPr>
      <w:r>
        <w:rPr>
          <w:rFonts w:ascii="StobiSerif Regular" w:eastAsia="StobiSerif Regular" w:hAnsi="StobiSerif Regular" w:cs="StobiSerif Regular"/>
          <w:sz w:val="24"/>
          <w:szCs w:val="24"/>
        </w:rPr>
        <w:t>To introduce a systemic obligation to use and publish open source and modular digital components in all digital solutions, which are financed from budget funds, to ensure public verifiability.</w:t>
      </w:r>
    </w:p>
    <w:p w14:paraId="0000002A" w14:textId="77777777" w:rsidR="00AC66B4" w:rsidRDefault="00AC66B4">
      <w:pPr>
        <w:spacing w:after="280" w:line="240" w:lineRule="auto"/>
        <w:jc w:val="both"/>
        <w:rPr>
          <w:rFonts w:ascii="StobiSerif Regular" w:eastAsia="StobiSerif Regular" w:hAnsi="StobiSerif Regular" w:cs="StobiSerif Regular"/>
          <w:sz w:val="24"/>
          <w:szCs w:val="24"/>
        </w:rPr>
      </w:pPr>
    </w:p>
    <w:p w14:paraId="0000002B" w14:textId="77777777" w:rsidR="00AC66B4" w:rsidRDefault="00000000">
      <w:pPr>
        <w:spacing w:after="280" w:line="240" w:lineRule="auto"/>
        <w:jc w:val="both"/>
        <w:rPr>
          <w:rFonts w:ascii="StobiSerif Regular" w:eastAsia="StobiSerif Regular" w:hAnsi="StobiSerif Regular" w:cs="StobiSerif Regular"/>
          <w:b/>
          <w:bCs/>
          <w:sz w:val="24"/>
          <w:szCs w:val="24"/>
        </w:rPr>
      </w:pPr>
      <w:r>
        <w:rPr>
          <w:rFonts w:ascii="StobiSerif Regular" w:eastAsia="StobiSerif Regular" w:hAnsi="StobiSerif Regular" w:cs="StobiSerif Regular"/>
          <w:b/>
          <w:bCs/>
          <w:sz w:val="24"/>
          <w:szCs w:val="24"/>
        </w:rPr>
        <w:t>Digital Services and Built-in Access to Information</w:t>
      </w:r>
    </w:p>
    <w:p w14:paraId="0000002C" w14:textId="77777777" w:rsidR="00AC66B4" w:rsidRDefault="00000000">
      <w:pPr>
        <w:spacing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This pillar focuses on moving from reactive transparency, which depends on submitted requests for access to information, to proactive transparency.</w:t>
      </w:r>
    </w:p>
    <w:p w14:paraId="0000002D" w14:textId="77777777" w:rsidR="00AC66B4" w:rsidRDefault="00000000">
      <w:pPr>
        <w:numPr>
          <w:ilvl w:val="0"/>
          <w:numId w:val="4"/>
        </w:numPr>
        <w:spacing w:after="280" w:line="240" w:lineRule="auto"/>
        <w:jc w:val="both"/>
        <w:rPr>
          <w:rFonts w:ascii="Noto Sans Symbols" w:eastAsia="Noto Sans Symbols" w:hAnsi="Noto Sans Symbols" w:cs="Noto Sans Symbols"/>
          <w:sz w:val="20"/>
          <w:szCs w:val="20"/>
        </w:rPr>
      </w:pPr>
      <w:r>
        <w:rPr>
          <w:rFonts w:ascii="StobiSerif Regular" w:eastAsia="StobiSerif Regular" w:hAnsi="StobiSerif Regular" w:cs="StobiSerif Regular"/>
          <w:sz w:val="24"/>
          <w:szCs w:val="24"/>
        </w:rPr>
        <w:t>Designing public services according to the principle of "digital by default". Institutions must be obliged not to request data that the state already possesses.</w:t>
      </w:r>
    </w:p>
    <w:p w14:paraId="0000002E" w14:textId="77777777" w:rsidR="00AC66B4" w:rsidRDefault="00000000">
      <w:pPr>
        <w:numPr>
          <w:ilvl w:val="0"/>
          <w:numId w:val="2"/>
        </w:numPr>
        <w:spacing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Transparency and access to information must be built into the design of digital systems from the very beginning. Through an interoperable platform, automatic and detailed recording of every access to data must be ensured, with the possibility for citizens to check the institutional procedure.</w:t>
      </w:r>
    </w:p>
    <w:p w14:paraId="0000002F" w14:textId="77777777" w:rsidR="00AC66B4" w:rsidRDefault="00000000">
      <w:pPr>
        <w:numPr>
          <w:ilvl w:val="0"/>
          <w:numId w:val="4"/>
        </w:numPr>
        <w:spacing w:after="280" w:line="240" w:lineRule="auto"/>
        <w:jc w:val="both"/>
        <w:rPr>
          <w:rFonts w:ascii="Noto Sans Symbols" w:eastAsia="Noto Sans Symbols" w:hAnsi="Noto Sans Symbols" w:cs="Noto Sans Symbols"/>
          <w:sz w:val="20"/>
          <w:szCs w:val="20"/>
        </w:rPr>
      </w:pPr>
      <w:r>
        <w:rPr>
          <w:rFonts w:ascii="StobiSerif Regular" w:eastAsia="StobiSerif Regular" w:hAnsi="StobiSerif Regular" w:cs="StobiSerif Regular"/>
          <w:sz w:val="24"/>
          <w:szCs w:val="24"/>
        </w:rPr>
        <w:t>Proactive publication of structured and machine-readable data should be treated as an operational management format. This will reduce the number of individual requests and limit the risk of administrative silence.</w:t>
      </w:r>
    </w:p>
    <w:p w14:paraId="00000030" w14:textId="77777777" w:rsidR="00AC66B4" w:rsidRDefault="00000000">
      <w:pPr>
        <w:spacing w:after="280" w:line="240" w:lineRule="auto"/>
        <w:jc w:val="both"/>
        <w:rPr>
          <w:rFonts w:ascii="StobiSerif Regular" w:eastAsia="StobiSerif Regular" w:hAnsi="StobiSerif Regular" w:cs="StobiSerif Regular"/>
          <w:b/>
          <w:bCs/>
          <w:sz w:val="27"/>
          <w:szCs w:val="27"/>
        </w:rPr>
      </w:pPr>
      <w:r>
        <w:rPr>
          <w:rFonts w:ascii="StobiSerif Regular" w:eastAsia="StobiSerif Regular" w:hAnsi="StobiSerif Regular" w:cs="StobiSerif Regular"/>
          <w:b/>
          <w:bCs/>
          <w:sz w:val="24"/>
          <w:szCs w:val="24"/>
        </w:rPr>
        <w:t>Building trust and dealing with new technologies (AI)</w:t>
      </w:r>
    </w:p>
    <w:p w14:paraId="00000031" w14:textId="77777777" w:rsidR="00AC66B4" w:rsidRDefault="00000000">
      <w:pPr>
        <w:spacing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lastRenderedPageBreak/>
        <w:t>To preserve the trust and functionality of the right to access information in the era of automated decision-making</w:t>
      </w:r>
      <w:r>
        <w:rPr>
          <w:rFonts w:ascii="StobiSerif Regular" w:eastAsia="StobiSerif Regular" w:hAnsi="StobiSerif Regular" w:cs="StobiSerif Regular"/>
          <w:sz w:val="24"/>
          <w:szCs w:val="24"/>
          <w:vertAlign w:val="superscript"/>
        </w:rPr>
        <w:t xml:space="preserve"> </w:t>
      </w:r>
      <w:r>
        <w:rPr>
          <w:rFonts w:ascii="StobiSerif Regular" w:eastAsia="StobiSerif Regular" w:hAnsi="StobiSerif Regular" w:cs="StobiSerif Regular"/>
          <w:sz w:val="24"/>
          <w:szCs w:val="24"/>
        </w:rPr>
        <w:t>it is necessary:</w:t>
      </w:r>
    </w:p>
    <w:p w14:paraId="00000032" w14:textId="77777777" w:rsidR="00AC66B4" w:rsidRDefault="00000000">
      <w:pPr>
        <w:numPr>
          <w:ilvl w:val="0"/>
          <w:numId w:val="1"/>
        </w:numPr>
        <w:spacing w:after="280" w:line="240" w:lineRule="auto"/>
        <w:jc w:val="both"/>
        <w:rPr>
          <w:rFonts w:ascii="Noto Sans Symbols" w:eastAsia="Noto Sans Symbols" w:hAnsi="Noto Sans Symbols" w:cs="Noto Sans Symbols"/>
          <w:sz w:val="20"/>
          <w:szCs w:val="20"/>
        </w:rPr>
      </w:pPr>
      <w:r>
        <w:rPr>
          <w:rFonts w:ascii="StobiSerif Regular" w:eastAsia="StobiSerif Regular" w:hAnsi="StobiSerif Regular" w:cs="StobiSerif Regular"/>
          <w:sz w:val="24"/>
          <w:szCs w:val="24"/>
        </w:rPr>
        <w:t>Establishing a central registry of AI systems in the public sector and setting minimum standards for AI metadata (model description, data used, human oversight). This is key to defining what constitutes an “official document” in the context of automated decision-making.</w:t>
      </w:r>
    </w:p>
    <w:p w14:paraId="00000033" w14:textId="77777777" w:rsidR="00AC66B4" w:rsidRDefault="00000000">
      <w:pPr>
        <w:numPr>
          <w:ilvl w:val="0"/>
          <w:numId w:val="2"/>
        </w:numPr>
        <w:spacing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Formation of specialized technical-legal teams that will support officials in handling complex requests for access to information related to digital and algorithmic processes.</w:t>
      </w:r>
    </w:p>
    <w:p w14:paraId="00000034" w14:textId="77777777" w:rsidR="00AC66B4" w:rsidRDefault="00000000">
      <w:pPr>
        <w:numPr>
          <w:ilvl w:val="0"/>
          <w:numId w:val="1"/>
        </w:numPr>
        <w:spacing w:after="280" w:line="240" w:lineRule="auto"/>
        <w:jc w:val="both"/>
        <w:rPr>
          <w:rFonts w:ascii="Noto Sans Symbols" w:eastAsia="Noto Sans Symbols" w:hAnsi="Noto Sans Symbols" w:cs="Noto Sans Symbols"/>
          <w:sz w:val="20"/>
          <w:szCs w:val="20"/>
        </w:rPr>
      </w:pPr>
      <w:r>
        <w:rPr>
          <w:rFonts w:ascii="StobiSerif Regular" w:eastAsia="StobiSerif Regular" w:hAnsi="StobiSerif Regular" w:cs="StobiSerif Regular"/>
          <w:sz w:val="24"/>
          <w:szCs w:val="24"/>
        </w:rPr>
        <w:t>Establish clear rules for public-private partnerships, with mandatory contractual obligations for auditability, security, and compliance with laws on access to information and personal data protection. The state must retain key strategic and regulatory control.</w:t>
      </w:r>
    </w:p>
    <w:p w14:paraId="00000035" w14:textId="77777777" w:rsidR="00AC66B4" w:rsidRDefault="00000000">
      <w:pPr>
        <w:spacing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The Estonian experience shows that citizens' trust in the system does not stem from the technology itself, but from the consistent application of rules, the transparency of digital processes, and clear accountability. Only by strengthening legal, technical, and human capacities in parallel can North Macedonia successfully implement the digital transformation.</w:t>
      </w:r>
    </w:p>
    <w:p w14:paraId="00000036" w14:textId="77777777" w:rsidR="00AC66B4" w:rsidRDefault="00000000">
      <w:pPr>
        <w:spacing w:before="280" w:after="280" w:line="240" w:lineRule="auto"/>
        <w:jc w:val="center"/>
        <w:rPr>
          <w:rFonts w:ascii="StobiSerif Regular" w:eastAsia="StobiSerif Regular" w:hAnsi="StobiSerif Regular" w:cs="StobiSerif Regular"/>
          <w:b/>
          <w:bCs/>
          <w:sz w:val="32"/>
          <w:szCs w:val="32"/>
        </w:rPr>
      </w:pPr>
      <w:r>
        <w:rPr>
          <w:rFonts w:ascii="StobiSerif Regular" w:eastAsia="StobiSerif Regular" w:hAnsi="StobiSerif Regular" w:cs="StobiSerif Regular"/>
          <w:b/>
          <w:bCs/>
          <w:sz w:val="32"/>
          <w:szCs w:val="32"/>
        </w:rPr>
        <w:t>***</w:t>
      </w:r>
    </w:p>
    <w:p w14:paraId="00000037"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 xml:space="preserve">The study </w:t>
      </w:r>
      <w:proofErr w:type="gramStart"/>
      <w:r>
        <w:rPr>
          <w:rFonts w:ascii="StobiSerif Regular" w:eastAsia="StobiSerif Regular" w:hAnsi="StobiSerif Regular" w:cs="StobiSerif Regular"/>
          <w:sz w:val="24"/>
          <w:szCs w:val="24"/>
        </w:rPr>
        <w:t>visit</w:t>
      </w:r>
      <w:proofErr w:type="gramEnd"/>
      <w:r>
        <w:rPr>
          <w:rFonts w:ascii="StobiSerif Regular" w:eastAsia="StobiSerif Regular" w:hAnsi="StobiSerif Regular" w:cs="StobiSerif Regular"/>
          <w:sz w:val="24"/>
          <w:szCs w:val="24"/>
        </w:rPr>
        <w:t xml:space="preserve"> to Estonia clearly demonstrated that the successful digital transformation of public administration is not the result of isolated technological solutions, but of a long-term, strategic, and institutionally coordinated policy. The Estonian model demonstrates that interoperability between institutions, centralized technical support, and the use of open standards and open source are key prerequisites for the development of digital services that are simultaneously efficient, secure, and transparent.</w:t>
      </w:r>
    </w:p>
    <w:p w14:paraId="00000038"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One of the most important lessons from the visit is that transparency and access to information are built into digital systems from the very beginning of their design. Through the X-Road infrastructure, detailed logs, standardized metadata, and clear rules for human oversight of AI, Estonia is creating the conditions for the right to access information to remain functional and relevant even in the face of advanced automation.</w:t>
      </w:r>
    </w:p>
    <w:p w14:paraId="00000039"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lastRenderedPageBreak/>
        <w:t>For North Macedonia, Estonia’s experiences point to several directly applicable directions: the need for centralized coordination of digital solutions and the establishment of an interoperable data exchange platform. In addition, the Estonian approach to balancing transparency and personal data protection offers practical solutions that can be adapted to the Macedonian context, in particular through clear anonymization procedures and specialized technical support for officials who mediate and act on access to information requests.</w:t>
      </w:r>
    </w:p>
    <w:p w14:paraId="0000003A" w14:textId="77777777" w:rsidR="00AC66B4" w:rsidRDefault="00000000">
      <w:pPr>
        <w:spacing w:before="280" w:after="280" w:line="240" w:lineRule="auto"/>
        <w:jc w:val="both"/>
        <w:rPr>
          <w:rFonts w:ascii="StobiSerif Regular" w:eastAsia="StobiSerif Regular" w:hAnsi="StobiSerif Regular" w:cs="StobiSerif Regular"/>
          <w:sz w:val="24"/>
          <w:szCs w:val="24"/>
        </w:rPr>
      </w:pPr>
      <w:r>
        <w:rPr>
          <w:rFonts w:ascii="StobiSerif Regular" w:eastAsia="StobiSerif Regular" w:hAnsi="StobiSerif Regular" w:cs="StobiSerif Regular"/>
          <w:sz w:val="24"/>
          <w:szCs w:val="24"/>
        </w:rPr>
        <w:t xml:space="preserve">Finally, the visit confirmed that digitalization does not reduce, but rather increases, the need for strong transparency institutions. This emerges from the key message of the visit: </w:t>
      </w:r>
      <w:r>
        <w:rPr>
          <w:rFonts w:ascii="StobiSerif Regular" w:eastAsia="StobiSerif Regular" w:hAnsi="StobiSerif Regular" w:cs="StobiSerif Regular"/>
          <w:b/>
          <w:bCs/>
          <w:sz w:val="24"/>
          <w:szCs w:val="24"/>
        </w:rPr>
        <w:t>"Citizens trust the system"</w:t>
      </w:r>
      <w:r>
        <w:rPr>
          <w:rFonts w:ascii="StobiSerif Regular" w:eastAsia="StobiSerif Regular" w:hAnsi="StobiSerif Regular" w:cs="StobiSerif Regular"/>
          <w:sz w:val="24"/>
          <w:szCs w:val="24"/>
        </w:rPr>
        <w:t>. This trust does not arise from the technology itself, but from the consistent application of rules, the transparency of digital processes, the ability to verify institutional procedures, and clear accountability when those rules are not respected. It is this element – ​​the trust of citizens in the functioning of institutions – that represents the most important lesson from the Estonian model and an essential prerequisite for a successful digital transformation in North Macedonia as well. Only by strengthening legal, technical, and human capacities in parallel can North Macedonia reap the benefits of the digital transformation, while preserving the right to access information as a fundamental democratic and human right.</w:t>
      </w:r>
    </w:p>
    <w:p w14:paraId="0000003B" w14:textId="77777777" w:rsidR="00AC66B4" w:rsidRDefault="00AC66B4">
      <w:pPr>
        <w:spacing w:line="240" w:lineRule="auto"/>
        <w:jc w:val="both"/>
        <w:rPr>
          <w:rFonts w:ascii="StobiSerif Regular" w:eastAsia="StobiSerif Regular" w:hAnsi="StobiSerif Regular" w:cs="StobiSerif Regular"/>
          <w:sz w:val="24"/>
          <w:szCs w:val="24"/>
        </w:rPr>
      </w:pPr>
    </w:p>
    <w:p w14:paraId="0000003C" w14:textId="77777777" w:rsidR="00AC66B4" w:rsidRDefault="00000000">
      <w:pPr>
        <w:spacing w:before="280" w:after="280" w:line="240" w:lineRule="auto"/>
        <w:jc w:val="both"/>
        <w:rPr>
          <w:rFonts w:ascii="StobiSerif Regular" w:eastAsia="StobiSerif Regular" w:hAnsi="StobiSerif Regular" w:cs="StobiSerif Regular"/>
          <w:b/>
          <w:bCs/>
          <w:sz w:val="20"/>
          <w:szCs w:val="20"/>
        </w:rPr>
      </w:pPr>
      <w:r>
        <w:rPr>
          <w:rFonts w:ascii="StobiSerif Regular" w:eastAsia="StobiSerif Regular" w:hAnsi="StobiSerif Regular" w:cs="StobiSerif Regular"/>
          <w:b/>
          <w:bCs/>
          <w:sz w:val="20"/>
          <w:szCs w:val="20"/>
        </w:rPr>
        <w:t>Prepared by: Oliver Serafimovski</w:t>
      </w:r>
    </w:p>
    <w:p w14:paraId="0000003D" w14:textId="77777777" w:rsidR="00AC66B4" w:rsidRDefault="00AC66B4">
      <w:pPr>
        <w:spacing w:line="240" w:lineRule="auto"/>
        <w:jc w:val="both"/>
        <w:rPr>
          <w:rFonts w:ascii="StobiSerif Regular" w:eastAsia="StobiSerif Regular" w:hAnsi="StobiSerif Regular" w:cs="StobiSerif Regular"/>
          <w:sz w:val="24"/>
          <w:szCs w:val="24"/>
        </w:rPr>
      </w:pPr>
    </w:p>
    <w:p w14:paraId="0000003E" w14:textId="77777777" w:rsidR="00AC66B4" w:rsidRDefault="00AC66B4"/>
    <w:sectPr w:rsidR="00AC66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Noto Sans Symbols">
    <w:charset w:val="00"/>
    <w:family w:val="auto"/>
    <w:pitch w:val="default"/>
    <w:embedRegular r:id="rId1" w:fontKey="{887A60CB-3E2E-4210-BD21-CB3382EDDB4B}"/>
  </w:font>
  <w:font w:name="Calibri">
    <w:panose1 w:val="020F0502020204030204"/>
    <w:charset w:val="00"/>
    <w:family w:val="swiss"/>
    <w:pitch w:val="variable"/>
    <w:sig w:usb0="E4002EFF" w:usb1="C200247B" w:usb2="00000009" w:usb3="00000000" w:csb0="000001FF" w:csb1="00000000"/>
    <w:embedRegular r:id="rId2" w:fontKey="{A5A816E3-CA53-4C86-BC28-51BCA81DE0C6}"/>
  </w:font>
  <w:font w:name="Cambria">
    <w:panose1 w:val="02040503050406030204"/>
    <w:charset w:val="00"/>
    <w:family w:val="roman"/>
    <w:pitch w:val="variable"/>
    <w:sig w:usb0="E00006FF" w:usb1="420024FF" w:usb2="02000000" w:usb3="00000000" w:csb0="0000019F" w:csb1="00000000"/>
    <w:embedRegular r:id="rId3" w:fontKey="{903D8542-7A03-4D64-9FDA-5EB64BCC29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2A3800"/>
    <w:multiLevelType w:val="multilevel"/>
    <w:tmpl w:val="38044E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0D10CFF"/>
    <w:multiLevelType w:val="multilevel"/>
    <w:tmpl w:val="99B8BD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6012C7"/>
    <w:multiLevelType w:val="multilevel"/>
    <w:tmpl w:val="01D6C1A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2964B4"/>
    <w:multiLevelType w:val="multilevel"/>
    <w:tmpl w:val="2B52348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5571622">
    <w:abstractNumId w:val="3"/>
  </w:num>
  <w:num w:numId="2" w16cid:durableId="1017004599">
    <w:abstractNumId w:val="0"/>
  </w:num>
  <w:num w:numId="3" w16cid:durableId="191841400">
    <w:abstractNumId w:val="2"/>
  </w:num>
  <w:num w:numId="4" w16cid:durableId="541749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6B4"/>
    <w:rsid w:val="00AC66B4"/>
    <w:rsid w:val="00C54C7D"/>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9FB41-2D8F-4E1D-A196-0607F5C6F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mk-M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2528</Words>
  <Characters>14410</Characters>
  <Application>Microsoft Office Word</Application>
  <DocSecurity>0</DocSecurity>
  <Lines>120</Lines>
  <Paragraphs>33</Paragraphs>
  <ScaleCrop>false</ScaleCrop>
  <Company/>
  <LinksUpToDate>false</LinksUpToDate>
  <CharactersWithSpaces>16905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dc:creator>
  <cp:lastModifiedBy>oliver</cp:lastModifiedBy>
  <cp:revision>2</cp:revision>
  <dcterms:created xsi:type="dcterms:W3CDTF">2025-12-18T11:16:00Z</dcterms:created>
  <dcterms:modified xsi:type="dcterms:W3CDTF">2025-12-18T11:16:00Z</dcterms:modified>
</cp:coreProperties>
</file>