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</w:t>
      </w:r>
      <w:bookmarkEnd w:id="0"/>
      <w:r w:rsidR="001F16A8" w:rsidRPr="004A2887">
        <w:rPr>
          <w:rFonts w:ascii="StobiSerif Regular" w:hAnsi="StobiSerif Regular"/>
          <w:sz w:val="22"/>
          <w:szCs w:val="22"/>
          <w:lang w:val="mk-MK"/>
        </w:rPr>
        <w:t>-ЦГК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3B06"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476B7E">
        <w:rPr>
          <w:rFonts w:ascii="StobiSerif Regular" w:hAnsi="StobiSerif Regular"/>
          <w:sz w:val="22"/>
          <w:szCs w:val="22"/>
          <w:lang w:val="mk-MK"/>
        </w:rPr>
        <w:t>1</w:t>
      </w:r>
      <w:r w:rsidR="00113B06">
        <w:rPr>
          <w:rFonts w:ascii="StobiSerif Regular" w:hAnsi="StobiSerif Regular"/>
          <w:sz w:val="22"/>
          <w:szCs w:val="22"/>
          <w:lang w:val="mk-MK"/>
        </w:rPr>
        <w:t>9</w:t>
      </w:r>
      <w:r w:rsidR="00646B4F">
        <w:rPr>
          <w:rFonts w:ascii="StobiSerif Regular" w:hAnsi="StobiSerif Regular"/>
          <w:sz w:val="22"/>
          <w:szCs w:val="22"/>
          <w:lang w:val="mk-MK"/>
        </w:rPr>
        <w:t>.11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Центар за граѓански комуникации-ЦГК Скопје, поднесена против </w:t>
      </w:r>
      <w:r w:rsidR="00113B06">
        <w:rPr>
          <w:rFonts w:ascii="StobiSerif Regular" w:hAnsi="StobiSerif Regular"/>
          <w:sz w:val="22"/>
          <w:szCs w:val="22"/>
          <w:lang w:val="mk-MK"/>
        </w:rPr>
        <w:t>Министерството за транспорт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DE37DC">
        <w:rPr>
          <w:rFonts w:ascii="StobiSerif Regular" w:hAnsi="StobiSerif Regular"/>
          <w:sz w:val="22"/>
          <w:szCs w:val="22"/>
        </w:rPr>
        <w:t>5</w:t>
      </w:r>
      <w:r w:rsidR="00113B06">
        <w:rPr>
          <w:rFonts w:ascii="StobiSerif Regular" w:hAnsi="StobiSerif Regular"/>
          <w:sz w:val="22"/>
          <w:szCs w:val="22"/>
          <w:lang w:val="mk-MK"/>
        </w:rPr>
        <w:t>80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3B06">
        <w:rPr>
          <w:rFonts w:ascii="StobiSerif Regular" w:hAnsi="StobiSerif Regular"/>
          <w:sz w:val="22"/>
          <w:szCs w:val="22"/>
          <w:lang w:val="mk-MK"/>
        </w:rPr>
        <w:t>12</w:t>
      </w:r>
      <w:r w:rsidR="00CF2130">
        <w:rPr>
          <w:rFonts w:ascii="StobiSerif Regular" w:hAnsi="StobiSerif Regular"/>
          <w:sz w:val="22"/>
          <w:szCs w:val="22"/>
        </w:rPr>
        <w:t>.11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4A2887" w:rsidRDefault="007C75B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CF2130">
        <w:rPr>
          <w:rFonts w:ascii="StobiSerif Regular" w:hAnsi="StobiSerif Regular"/>
          <w:sz w:val="22"/>
          <w:szCs w:val="22"/>
          <w:lang w:val="mk-MK"/>
        </w:rPr>
        <w:t>то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 Скопје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 w:rsidRPr="004A288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CF2130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>07.10</w:t>
      </w:r>
      <w:r w:rsidR="007B2588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202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114C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Министерството за транспорт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114C1" w:rsidRPr="004A288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4A288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4A288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електронски запис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2474DF">
        <w:rPr>
          <w:rFonts w:ascii="StobiSerif Regular" w:hAnsi="StobiSerif Regular"/>
          <w:sz w:val="22"/>
          <w:szCs w:val="22"/>
          <w:lang w:val="mk-MK"/>
        </w:rPr>
        <w:t>ите</w:t>
      </w:r>
      <w:r w:rsidR="00AA40F5" w:rsidRPr="004A288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2474DF">
        <w:rPr>
          <w:rFonts w:ascii="StobiSerif Regular" w:hAnsi="StobiSerif Regular"/>
          <w:sz w:val="22"/>
          <w:szCs w:val="22"/>
          <w:lang w:val="mk-MK"/>
        </w:rPr>
        <w:t>и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01659" w:rsidRDefault="0012643C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D09EA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 xml:space="preserve">За постапката за јавна набавка </w:t>
      </w:r>
      <w:r w:rsidR="00DE37DC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113B06">
        <w:rPr>
          <w:rFonts w:ascii="StobiSerif Regular" w:hAnsi="StobiSerif Regular"/>
          <w:sz w:val="22"/>
          <w:szCs w:val="22"/>
          <w:lang w:val="mk-MK"/>
        </w:rPr>
        <w:t>автобуси за јавен превоз и станици за полнење бр.1039/2025: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Пристигнати понуди или пријави за учество (Образец на понуда-Финансиска понуда);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37576F" w:rsidRDefault="0037576F" w:rsidP="0037576F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е-аукција;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 рамковна спогодба; 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  <w:r w:rsidR="00C97FB4" w:rsidRPr="0012643C">
        <w:rPr>
          <w:rFonts w:ascii="StobiSerif Regular" w:hAnsi="StobiSerif Regular"/>
          <w:sz w:val="22"/>
          <w:szCs w:val="22"/>
          <w:lang w:val="mk-MK"/>
        </w:rPr>
        <w:tab/>
      </w:r>
    </w:p>
    <w:p w:rsidR="00DE37DC" w:rsidRDefault="0045186E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2643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901659">
        <w:rPr>
          <w:rFonts w:ascii="StobiSerif Regular" w:hAnsi="StobiSerif Regular"/>
          <w:sz w:val="22"/>
          <w:szCs w:val="22"/>
          <w:lang w:val="mk-MK"/>
        </w:rPr>
        <w:t>л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113B06">
        <w:rPr>
          <w:rFonts w:ascii="StobiSerif Regular" w:hAnsi="StobiSerif Regular"/>
          <w:sz w:val="22"/>
          <w:szCs w:val="22"/>
          <w:lang w:val="mk-MK"/>
        </w:rPr>
        <w:t>580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113B06">
        <w:rPr>
          <w:rFonts w:ascii="StobiSerif Regular" w:hAnsi="StobiSerif Regular"/>
          <w:sz w:val="22"/>
          <w:szCs w:val="22"/>
          <w:lang w:val="mk-MK"/>
        </w:rPr>
        <w:t>12</w:t>
      </w:r>
      <w:r w:rsidR="00901659">
        <w:rPr>
          <w:rFonts w:ascii="StobiSerif Regular" w:hAnsi="StobiSerif Regular"/>
          <w:sz w:val="22"/>
          <w:szCs w:val="22"/>
          <w:lang w:val="mk-MK"/>
        </w:rPr>
        <w:t>.11</w:t>
      </w:r>
      <w:r w:rsidRPr="0012643C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113B06" w:rsidRDefault="00113B06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13B06" w:rsidRDefault="00113B06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113B06" w:rsidRPr="0012643C" w:rsidRDefault="00113B06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D2605D" w:rsidRDefault="0045186E" w:rsidP="0045186E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, преку е-маил заведен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со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08-</w:t>
      </w:r>
      <w:r w:rsidR="00113B06">
        <w:rPr>
          <w:rFonts w:ascii="StobiSerif Regular" w:hAnsi="StobiSerif Regular"/>
          <w:sz w:val="22"/>
          <w:szCs w:val="22"/>
          <w:lang w:val="mk-MK"/>
        </w:rPr>
        <w:t>580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од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 12</w:t>
      </w:r>
      <w:r w:rsidR="00901659">
        <w:rPr>
          <w:rFonts w:ascii="StobiSerif Regular" w:hAnsi="StobiSerif Regular"/>
          <w:sz w:val="22"/>
          <w:szCs w:val="22"/>
          <w:lang w:val="mk-MK"/>
        </w:rPr>
        <w:t>.11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4A2887">
        <w:rPr>
          <w:rFonts w:ascii="StobiSerif Regular" w:hAnsi="StobiSerif Regular"/>
          <w:sz w:val="22"/>
          <w:szCs w:val="22"/>
          <w:lang w:val="mk-MK"/>
        </w:rPr>
        <w:t>5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="00B075AC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седум (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7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)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8A4DE6" w:rsidRPr="004A2887" w:rsidRDefault="00DE37DC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2474DF"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>
        <w:rPr>
          <w:rFonts w:ascii="StobiSerif Regular" w:hAnsi="StobiSerif Regular"/>
          <w:sz w:val="22"/>
          <w:szCs w:val="22"/>
          <w:lang w:val="mk-MK"/>
        </w:rPr>
        <w:t>1</w:t>
      </w:r>
      <w:r w:rsidR="00113B06">
        <w:rPr>
          <w:rFonts w:ascii="StobiSerif Regular" w:hAnsi="StobiSerif Regular"/>
          <w:sz w:val="22"/>
          <w:szCs w:val="22"/>
          <w:lang w:val="mk-MK"/>
        </w:rPr>
        <w:t>8</w:t>
      </w:r>
      <w:r>
        <w:rPr>
          <w:rFonts w:ascii="StobiSerif Regular" w:hAnsi="StobiSerif Regular"/>
          <w:sz w:val="22"/>
          <w:szCs w:val="22"/>
          <w:lang w:val="mk-MK"/>
        </w:rPr>
        <w:t>.</w:t>
      </w:r>
      <w:r w:rsidR="00901659">
        <w:rPr>
          <w:rFonts w:ascii="StobiSerif Regular" w:hAnsi="StobiSerif Regular"/>
          <w:sz w:val="22"/>
          <w:szCs w:val="22"/>
          <w:lang w:val="mk-MK"/>
        </w:rPr>
        <w:t>11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 w:rsidR="002474DF">
        <w:rPr>
          <w:rFonts w:ascii="StobiSerif Regular" w:hAnsi="StobiSerif Regular"/>
          <w:sz w:val="22"/>
          <w:szCs w:val="22"/>
          <w:lang w:val="mk-MK"/>
        </w:rPr>
        <w:t>„</w:t>
      </w:r>
      <w:r w:rsidR="0037576F">
        <w:rPr>
          <w:rFonts w:ascii="StobiSerif Regular" w:hAnsi="StobiSerif Regular"/>
          <w:sz w:val="22"/>
          <w:szCs w:val="22"/>
          <w:lang w:val="mk-MK"/>
        </w:rPr>
        <w:t xml:space="preserve">Ве известуваме дека го добивме одговорот на Барањето за пристап до информации од јавен карактер од имателот на информации 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Министерство за транспорт </w:t>
      </w:r>
      <w:r w:rsidR="0037576F">
        <w:rPr>
          <w:rFonts w:ascii="StobiSerif Regular" w:hAnsi="StobiSerif Regular"/>
          <w:sz w:val="22"/>
          <w:szCs w:val="22"/>
          <w:lang w:val="mk-MK"/>
        </w:rPr>
        <w:t>и жалбата</w:t>
      </w:r>
      <w:r w:rsidR="00113B06">
        <w:rPr>
          <w:rFonts w:ascii="StobiSerif Regular" w:hAnsi="StobiSerif Regular"/>
          <w:sz w:val="22"/>
          <w:szCs w:val="22"/>
          <w:lang w:val="mk-MK"/>
        </w:rPr>
        <w:t xml:space="preserve"> заведена под  наш бр.0306-378/1 од 11</w:t>
      </w:r>
      <w:r w:rsidR="0037576F">
        <w:rPr>
          <w:rFonts w:ascii="StobiSerif Regular" w:hAnsi="StobiSerif Regular"/>
          <w:sz w:val="22"/>
          <w:szCs w:val="22"/>
          <w:lang w:val="mk-MK"/>
        </w:rPr>
        <w:t>.11.2025 година ја повлекуваме</w:t>
      </w:r>
      <w:r w:rsidR="002474DF">
        <w:rPr>
          <w:rFonts w:ascii="StobiSerif Regular" w:hAnsi="StobiSerif Regular"/>
          <w:sz w:val="22"/>
          <w:szCs w:val="22"/>
          <w:lang w:val="mk-MK"/>
        </w:rPr>
        <w:t>“.</w:t>
      </w:r>
    </w:p>
    <w:p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37576F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  <w:bookmarkStart w:id="1" w:name="_GoBack"/>
      <w:bookmarkEnd w:id="1"/>
    </w:p>
    <w:sectPr w:rsidR="0037576F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8E" w:rsidRDefault="003F3D8E">
      <w:r>
        <w:separator/>
      </w:r>
    </w:p>
  </w:endnote>
  <w:endnote w:type="continuationSeparator" w:id="0">
    <w:p w:rsidR="003F3D8E" w:rsidRDefault="003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9A" w:rsidRDefault="00580B4C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7CE">
      <w:rPr>
        <w:rStyle w:val="PageNumber"/>
        <w:noProof/>
      </w:rPr>
      <w:t>1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8E" w:rsidRDefault="003F3D8E">
      <w:r>
        <w:separator/>
      </w:r>
    </w:p>
  </w:footnote>
  <w:footnote w:type="continuationSeparator" w:id="0">
    <w:p w:rsidR="003F3D8E" w:rsidRDefault="003F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70682"/>
    <w:rsid w:val="00476B7E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047CE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7</cp:revision>
  <cp:lastPrinted>2025-11-19T08:49:00Z</cp:lastPrinted>
  <dcterms:created xsi:type="dcterms:W3CDTF">2025-11-19T08:44:00Z</dcterms:created>
  <dcterms:modified xsi:type="dcterms:W3CDTF">2025-12-05T11:15:00Z</dcterms:modified>
</cp:coreProperties>
</file>