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F66" w:rsidRPr="00E20F25" w:rsidRDefault="00C97F66" w:rsidP="00C97F66">
      <w:pPr>
        <w:spacing w:line="276" w:lineRule="auto"/>
        <w:jc w:val="center"/>
        <w:rPr>
          <w:rFonts w:ascii="StobiSerif Regular" w:hAnsi="StobiSerif Regular"/>
          <w:b/>
          <w:sz w:val="22"/>
          <w:szCs w:val="22"/>
          <w:lang w:val="mk-MK"/>
        </w:rPr>
      </w:pPr>
    </w:p>
    <w:p w:rsidR="009A656B"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C97F66" w:rsidRPr="00C97F66">
        <w:rPr>
          <w:rFonts w:ascii="StobiSerif Regular" w:hAnsi="StobiSerif Regular"/>
          <w:sz w:val="22"/>
          <w:szCs w:val="22"/>
          <w:lang w:val="mk-MK"/>
        </w:rPr>
        <w:t>Тара Концепт ДОО – Скопје, поднесена против Решение на Општина Велес</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C8626E">
        <w:rPr>
          <w:rFonts w:ascii="StobiSerif Regular" w:hAnsi="StobiSerif Regular"/>
          <w:sz w:val="22"/>
          <w:szCs w:val="22"/>
          <w:lang w:val="mk-MK"/>
        </w:rPr>
        <w:t>0</w:t>
      </w:r>
      <w:r w:rsidR="00C97F66">
        <w:rPr>
          <w:rFonts w:ascii="StobiSerif Regular" w:hAnsi="StobiSerif Regular"/>
          <w:sz w:val="22"/>
          <w:szCs w:val="22"/>
          <w:lang w:val="mk-MK"/>
        </w:rPr>
        <w:t>6</w:t>
      </w:r>
      <w:r w:rsidR="00AF0E51">
        <w:rPr>
          <w:rFonts w:ascii="StobiSerif Regular" w:hAnsi="StobiSerif Regular"/>
          <w:sz w:val="22"/>
          <w:szCs w:val="22"/>
          <w:lang w:val="mk-MK"/>
        </w:rPr>
        <w:t>.10</w:t>
      </w:r>
      <w:r w:rsidRPr="00986E7D">
        <w:rPr>
          <w:rFonts w:ascii="StobiSerif Regular" w:hAnsi="StobiSerif Regular"/>
          <w:sz w:val="22"/>
          <w:szCs w:val="22"/>
          <w:lang w:val="mk-MK"/>
        </w:rPr>
        <w:t>.2025 година го донесе следното</w:t>
      </w:r>
    </w:p>
    <w:p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rsidR="00C97F66" w:rsidRPr="00C97F66" w:rsidRDefault="00C97F66" w:rsidP="00677AE1">
      <w:pPr>
        <w:pStyle w:val="NormalWeb"/>
        <w:spacing w:after="0"/>
        <w:ind w:firstLine="720"/>
        <w:jc w:val="both"/>
        <w:rPr>
          <w:rFonts w:ascii="StobiSerif Regular" w:hAnsi="StobiSerif Regular"/>
          <w:sz w:val="22"/>
          <w:szCs w:val="22"/>
          <w:lang w:val="mk-MK"/>
        </w:rPr>
      </w:pPr>
      <w:r w:rsidRPr="00677AE1">
        <w:rPr>
          <w:rFonts w:ascii="StobiSerif Regular" w:hAnsi="StobiSerif Regular"/>
          <w:b/>
          <w:sz w:val="22"/>
          <w:szCs w:val="22"/>
          <w:lang w:val="mk-MK"/>
        </w:rPr>
        <w:t>1</w:t>
      </w:r>
      <w:r w:rsidRPr="00C97F66">
        <w:rPr>
          <w:rFonts w:ascii="StobiSerif Regular" w:hAnsi="StobiSerif Regular"/>
          <w:sz w:val="22"/>
          <w:szCs w:val="22"/>
          <w:lang w:val="mk-MK"/>
        </w:rPr>
        <w:t>.Жалбата изјавена од Тара Концепт ДОО – Скопје, поднесена против Решение</w:t>
      </w:r>
      <w:r w:rsidR="00606C5E">
        <w:rPr>
          <w:rFonts w:ascii="StobiSerif Regular" w:hAnsi="StobiSerif Regular"/>
          <w:sz w:val="22"/>
          <w:szCs w:val="22"/>
          <w:lang w:val="mk-MK"/>
        </w:rPr>
        <w:t>то</w:t>
      </w:r>
      <w:r w:rsidRPr="00C97F66">
        <w:rPr>
          <w:rFonts w:ascii="StobiSerif Regular" w:hAnsi="StobiSerif Regular"/>
          <w:sz w:val="22"/>
          <w:szCs w:val="22"/>
          <w:lang w:val="mk-MK"/>
        </w:rPr>
        <w:t xml:space="preserve"> на Општина Велес бр.26-4251/3 од 18.09.2025 година, заведена во Агенцијата под бр.08-517 на 01.10.2025  година, по предметот Барање за пристап до информации од јавен карактер, </w:t>
      </w:r>
      <w:r w:rsidRPr="00677AE1">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C97F66">
        <w:rPr>
          <w:rFonts w:ascii="StobiSerif Regular" w:hAnsi="StobiSerif Regular"/>
          <w:sz w:val="22"/>
          <w:szCs w:val="22"/>
          <w:lang w:val="mk-MK"/>
        </w:rPr>
        <w:t>.</w:t>
      </w:r>
    </w:p>
    <w:p w:rsidR="009A462F" w:rsidRPr="00986E7D" w:rsidRDefault="009A462F" w:rsidP="00C8626E">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0F19D2">
        <w:rPr>
          <w:rFonts w:ascii="StobiSerif Regular" w:hAnsi="StobiSerif Regular"/>
          <w:b/>
          <w:sz w:val="22"/>
          <w:szCs w:val="22"/>
          <w:lang w:val="mk-MK"/>
        </w:rPr>
        <w:t xml:space="preserve"> </w:t>
      </w:r>
      <w:r w:rsidR="00FD0E04" w:rsidRPr="00FD0E04">
        <w:rPr>
          <w:rFonts w:ascii="StobiSerif Regular" w:hAnsi="StobiSerif Regular"/>
          <w:b/>
          <w:sz w:val="22"/>
          <w:szCs w:val="22"/>
          <w:lang w:val="mk-MK"/>
        </w:rPr>
        <w:t>бр.26-4251/3 од 18.09.2025</w:t>
      </w:r>
      <w:r w:rsidR="00FD0E04" w:rsidRPr="00875019">
        <w:rPr>
          <w:rFonts w:ascii="StobiSerif Regular" w:hAnsi="StobiSerif Regular"/>
          <w:sz w:val="22"/>
          <w:szCs w:val="22"/>
          <w:lang w:val="mk-MK"/>
        </w:rPr>
        <w:t xml:space="preserve"> </w:t>
      </w:r>
      <w:r w:rsidR="00AF0E51">
        <w:rPr>
          <w:rFonts w:ascii="StobiSerif Regular" w:hAnsi="StobiSerif Regular"/>
          <w:b/>
          <w:sz w:val="22"/>
          <w:szCs w:val="22"/>
          <w:lang w:val="mk-MK"/>
        </w:rPr>
        <w:t>година</w:t>
      </w:r>
      <w:r w:rsidRPr="00986E7D">
        <w:rPr>
          <w:rFonts w:ascii="StobiSerif Regular" w:hAnsi="StobiSerif Regular"/>
          <w:b/>
          <w:sz w:val="22"/>
          <w:szCs w:val="22"/>
          <w:lang w:val="mk-MK"/>
        </w:rPr>
        <w:t xml:space="preserve"> СЕ ПОНИШТУВА.</w:t>
      </w:r>
    </w:p>
    <w:p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00677AE1">
        <w:rPr>
          <w:rFonts w:ascii="StobiSerif Regular" w:hAnsi="StobiSerif Regular"/>
          <w:b/>
          <w:sz w:val="22"/>
          <w:szCs w:val="22"/>
          <w:lang w:val="mk-MK"/>
        </w:rPr>
        <w:t xml:space="preserve">   </w:t>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rsidR="007F18AD" w:rsidRPr="00986E7D" w:rsidRDefault="007F18AD" w:rsidP="003B4DE9">
      <w:pPr>
        <w:pStyle w:val="NormalWeb"/>
        <w:spacing w:before="0" w:after="0"/>
        <w:ind w:firstLine="720"/>
        <w:jc w:val="both"/>
        <w:rPr>
          <w:rFonts w:ascii="StobiSerif Regular" w:hAnsi="StobiSerif Regular"/>
          <w:sz w:val="22"/>
          <w:szCs w:val="22"/>
          <w:lang w:val="mk-MK"/>
        </w:rPr>
      </w:pPr>
    </w:p>
    <w:p w:rsidR="00677AE1" w:rsidRPr="00677AE1" w:rsidRDefault="00677AE1" w:rsidP="00677AE1">
      <w:pPr>
        <w:pStyle w:val="NoSpacing"/>
        <w:tabs>
          <w:tab w:val="left" w:pos="709"/>
        </w:tabs>
        <w:rPr>
          <w:rFonts w:ascii="StobiSerif Regular" w:hAnsi="StobiSerif Regular"/>
          <w:sz w:val="22"/>
          <w:szCs w:val="22"/>
          <w:lang w:val="mk-MK" w:eastAsia="ar-SA"/>
        </w:rPr>
      </w:pPr>
      <w:r w:rsidRPr="00677AE1">
        <w:rPr>
          <w:rFonts w:ascii="StobiSerif Regular" w:hAnsi="StobiSerif Regular"/>
          <w:sz w:val="22"/>
          <w:szCs w:val="22"/>
          <w:lang w:val="mk-MK" w:eastAsia="ar-SA"/>
        </w:rPr>
        <w:t xml:space="preserve">Тара Концепт ДОО – Скопје, како што е наведено во Жалбата, поднело Барање за пристап до информации од јавен карактер до Општина Велес, заведено кај Имателот на информации со бр.26-4251/1 на 01.09.2025 година, со кое побарало по е-маил да му се достави електронски запис од следните информации: </w:t>
      </w:r>
    </w:p>
    <w:p w:rsidR="00677AE1" w:rsidRPr="00677AE1" w:rsidRDefault="00677AE1" w:rsidP="00677AE1">
      <w:pPr>
        <w:pStyle w:val="NoSpacing"/>
        <w:tabs>
          <w:tab w:val="left" w:pos="709"/>
        </w:tabs>
        <w:rPr>
          <w:rFonts w:ascii="StobiSerif Regular" w:hAnsi="StobiSerif Regular"/>
          <w:sz w:val="22"/>
          <w:szCs w:val="22"/>
          <w:lang w:val="mk-MK" w:eastAsia="ar-SA"/>
        </w:rPr>
      </w:pPr>
      <w:r w:rsidRPr="00677AE1">
        <w:rPr>
          <w:rFonts w:ascii="StobiSerif Regular" w:hAnsi="StobiSerif Regular"/>
          <w:sz w:val="22"/>
          <w:szCs w:val="22"/>
          <w:lang w:val="mk-MK" w:eastAsia="ar-SA"/>
        </w:rPr>
        <w:t>„ – Вкупниот број на правосилни одобренија за градба (високоградба и реконструкција) издадени од страна на Општина Велес во периодот од 01.01.2024 до 01.09.2025;</w:t>
      </w:r>
    </w:p>
    <w:p w:rsidR="00677AE1" w:rsidRPr="00677AE1" w:rsidRDefault="00677AE1" w:rsidP="00677AE1">
      <w:pPr>
        <w:pStyle w:val="NoSpacing"/>
        <w:tabs>
          <w:tab w:val="left" w:pos="709"/>
        </w:tabs>
        <w:rPr>
          <w:rFonts w:ascii="StobiSerif Regular" w:hAnsi="StobiSerif Regular"/>
          <w:sz w:val="22"/>
          <w:szCs w:val="22"/>
          <w:lang w:val="mk-MK" w:eastAsia="ar-SA"/>
        </w:rPr>
      </w:pPr>
      <w:r w:rsidRPr="00677AE1">
        <w:rPr>
          <w:rFonts w:ascii="StobiSerif Regular" w:hAnsi="StobiSerif Regular"/>
          <w:sz w:val="22"/>
          <w:szCs w:val="22"/>
          <w:lang w:val="mk-MK" w:eastAsia="ar-SA"/>
        </w:rPr>
        <w:t>-</w:t>
      </w:r>
      <w:r w:rsidRPr="00677AE1">
        <w:rPr>
          <w:rFonts w:ascii="StobiSerif Regular" w:hAnsi="StobiSerif Regular"/>
          <w:sz w:val="22"/>
          <w:szCs w:val="22"/>
          <w:lang w:val="mk-MK" w:eastAsia="ar-SA"/>
        </w:rPr>
        <w:tab/>
        <w:t>Имињата на физичките или правните лица на кои им се издадени овие одобренија;</w:t>
      </w:r>
    </w:p>
    <w:p w:rsidR="00677AE1" w:rsidRPr="00677AE1" w:rsidRDefault="00677AE1" w:rsidP="00677AE1">
      <w:pPr>
        <w:pStyle w:val="NoSpacing"/>
        <w:tabs>
          <w:tab w:val="left" w:pos="709"/>
        </w:tabs>
        <w:rPr>
          <w:rFonts w:ascii="StobiSerif Regular" w:hAnsi="StobiSerif Regular"/>
          <w:sz w:val="22"/>
          <w:szCs w:val="22"/>
          <w:lang w:val="mk-MK" w:eastAsia="ar-SA"/>
        </w:rPr>
      </w:pPr>
      <w:r w:rsidRPr="00677AE1">
        <w:rPr>
          <w:rFonts w:ascii="StobiSerif Regular" w:hAnsi="StobiSerif Regular"/>
          <w:sz w:val="22"/>
          <w:szCs w:val="22"/>
          <w:lang w:val="mk-MK" w:eastAsia="ar-SA"/>
        </w:rPr>
        <w:t>-</w:t>
      </w:r>
      <w:r w:rsidRPr="00677AE1">
        <w:rPr>
          <w:rFonts w:ascii="StobiSerif Regular" w:hAnsi="StobiSerif Regular"/>
          <w:sz w:val="22"/>
          <w:szCs w:val="22"/>
          <w:lang w:val="mk-MK" w:eastAsia="ar-SA"/>
        </w:rPr>
        <w:tab/>
        <w:t>Катастарските парцели и адреси на објектите за кои се издадени одобренијата;</w:t>
      </w:r>
    </w:p>
    <w:p w:rsidR="00677AE1" w:rsidRPr="00677AE1" w:rsidRDefault="00677AE1" w:rsidP="00677AE1">
      <w:pPr>
        <w:pStyle w:val="NoSpacing"/>
        <w:tabs>
          <w:tab w:val="left" w:pos="709"/>
        </w:tabs>
        <w:rPr>
          <w:rFonts w:ascii="StobiSerif Regular" w:hAnsi="StobiSerif Regular"/>
          <w:sz w:val="22"/>
          <w:szCs w:val="22"/>
          <w:lang w:val="mk-MK" w:eastAsia="ar-SA"/>
        </w:rPr>
      </w:pPr>
      <w:r w:rsidRPr="00677AE1">
        <w:rPr>
          <w:rFonts w:ascii="StobiSerif Regular" w:hAnsi="StobiSerif Regular"/>
          <w:sz w:val="22"/>
          <w:szCs w:val="22"/>
          <w:lang w:val="mk-MK" w:eastAsia="ar-SA"/>
        </w:rPr>
        <w:t>-</w:t>
      </w:r>
      <w:r w:rsidRPr="00677AE1">
        <w:rPr>
          <w:rFonts w:ascii="StobiSerif Regular" w:hAnsi="StobiSerif Regular"/>
          <w:sz w:val="22"/>
          <w:szCs w:val="22"/>
          <w:lang w:val="mk-MK" w:eastAsia="ar-SA"/>
        </w:rPr>
        <w:tab/>
        <w:t>Типот на објект (високоградба, реконструкција, станбен/деловен и сл.)“.</w:t>
      </w:r>
    </w:p>
    <w:p w:rsidR="00677AE1" w:rsidRPr="00677AE1" w:rsidRDefault="00677AE1" w:rsidP="00677AE1">
      <w:pPr>
        <w:pStyle w:val="NoSpacing"/>
        <w:tabs>
          <w:tab w:val="left" w:pos="709"/>
        </w:tabs>
        <w:rPr>
          <w:rFonts w:ascii="StobiSerif Regular" w:hAnsi="StobiSerif Regular"/>
          <w:sz w:val="22"/>
          <w:szCs w:val="22"/>
          <w:lang w:val="mk-MK" w:eastAsia="ar-SA"/>
        </w:rPr>
      </w:pPr>
      <w:r w:rsidRPr="00677AE1">
        <w:rPr>
          <w:rFonts w:ascii="StobiSerif Regular" w:hAnsi="StobiSerif Regular"/>
          <w:sz w:val="22"/>
          <w:szCs w:val="22"/>
          <w:lang w:val="mk-MK" w:eastAsia="ar-SA"/>
        </w:rPr>
        <w:t xml:space="preserve">Постапувајќи по ова Барање, Имателот на информации до Барателот доставил Решение бр.26-4251/3 од 18.09.2025 година  со кое го Барањето на Барателот „делумно се одбива“. Во образложението на Решението е наведено: „...бараната информација за вкупниот број на правосилни одобренија за градба...издадени од Општина Велес...е информација од јавен карактер и истите се наведени во диспозитивот на ова Решение...информациите кои се однесуваат на имињата на </w:t>
      </w:r>
      <w:r w:rsidRPr="00677AE1">
        <w:rPr>
          <w:rFonts w:ascii="StobiSerif Regular" w:hAnsi="StobiSerif Regular"/>
          <w:sz w:val="22"/>
          <w:szCs w:val="22"/>
          <w:lang w:val="mk-MK" w:eastAsia="ar-SA"/>
        </w:rPr>
        <w:lastRenderedPageBreak/>
        <w:t>физичките лица или правните лица на кои им се издадени овие одобренија, катастарските парцели и адреси на објектите за кои се издадени одобренијата се информации кои содржат лични податоци чие откривање би значело повреда на заштитата на личните податоци на странките во постапките водени пред Општина Велес, кои се стекнати односно составени за спроведување на управна постапка кај имателот на информации Општина Велес по барања на физички и правни лица до Општина Велес за свои индивидуални и приватни потреби. Ваквите информации не се од јавен карактер односно јавен интерес, имајќи го предвид фактот дека секое одобрение за градење или решение за реконструкција на објект е издадено врз основа на барање со прилог документација која содржи лични податоци за барателот врз основа на кое своите лични индивидуални права и приватни интереси ги остварува во постапка пред надлежниот орган...“. Во прилог на наведеното Решение, до барателот е доставен и Тест на штетност бр.26-4251/2 од 04.09.2025 година, во кој е наведено: „...бидејќи бараните информации содржат лични податоци...и истите се стекнати односно составени за спроведување на управни постапки по барање на физички и правни лица...и се од приватен индивидуален интерес на своја приватна сопственост, се констатира дека давањето на таквите податоци би имало штетни последици за постапките кои што се воделе пред имателот Општина Велес и е во спротивност со Законот за слободен пристап до информации од јавен карактер“.</w:t>
      </w:r>
    </w:p>
    <w:p w:rsidR="00677AE1" w:rsidRPr="00677AE1" w:rsidRDefault="00677AE1" w:rsidP="00677AE1">
      <w:pPr>
        <w:pStyle w:val="NoSpacing"/>
        <w:tabs>
          <w:tab w:val="left" w:pos="709"/>
        </w:tabs>
        <w:rPr>
          <w:rFonts w:ascii="StobiSerif Regular" w:hAnsi="StobiSerif Regular"/>
          <w:sz w:val="22"/>
          <w:szCs w:val="22"/>
          <w:lang w:val="mk-MK" w:eastAsia="ar-SA"/>
        </w:rPr>
      </w:pPr>
      <w:r w:rsidRPr="00677AE1">
        <w:rPr>
          <w:rFonts w:ascii="StobiSerif Regular" w:hAnsi="StobiSerif Regular"/>
          <w:sz w:val="22"/>
          <w:szCs w:val="22"/>
          <w:lang w:val="mk-MK" w:eastAsia="ar-SA"/>
        </w:rPr>
        <w:t>Незадоволен од наведеното Решение, Барателот на информации поднесе Жалба, заведена во Агенцијата под бр. 08-517 на 01.10.2025 година. Во Жалбата е наведено: „...доставените информации не се целосни и не ги содржат сите побарани детали...не се доставени имињата на физичките и правните лица на кои им се издадени одобренија за градба, ниту катастарските парцели и адресите на објектите...во прилог е доставен тест на штетност кој не е дел од побараните информации и не ги заменува суштинските податоци од барањето...Овие податоци ни се потребни за анализа на урбанистички развој, деловна проценка и истражување на пазарот“.</w:t>
      </w:r>
    </w:p>
    <w:p w:rsidR="00677AE1" w:rsidRPr="00677AE1" w:rsidRDefault="00677AE1" w:rsidP="00677AE1">
      <w:pPr>
        <w:pStyle w:val="NoSpacing"/>
        <w:tabs>
          <w:tab w:val="left" w:pos="709"/>
        </w:tabs>
        <w:rPr>
          <w:rFonts w:ascii="StobiSerif Regular" w:hAnsi="StobiSerif Regular"/>
          <w:sz w:val="22"/>
          <w:szCs w:val="22"/>
          <w:lang w:val="mk-MK" w:eastAsia="ar-SA"/>
        </w:rPr>
      </w:pPr>
      <w:r w:rsidRPr="00677AE1">
        <w:rPr>
          <w:rFonts w:ascii="StobiSerif Regular" w:hAnsi="StobiSerif Regular"/>
          <w:sz w:val="22"/>
          <w:szCs w:val="22"/>
          <w:lang w:val="mk-MK" w:eastAsia="ar-SA"/>
        </w:rPr>
        <w:t>Агенцијата со електронски допис бр.08-517 од 01.10.2025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w:t>
      </w:r>
    </w:p>
    <w:p w:rsidR="00677AE1" w:rsidRDefault="00677AE1" w:rsidP="00677AE1">
      <w:pPr>
        <w:pStyle w:val="NoSpacing"/>
        <w:tabs>
          <w:tab w:val="left" w:pos="709"/>
        </w:tabs>
        <w:ind w:firstLine="0"/>
        <w:rPr>
          <w:rFonts w:ascii="StobiSerif Regular" w:hAnsi="StobiSerif Regular"/>
          <w:sz w:val="22"/>
          <w:szCs w:val="22"/>
          <w:lang w:val="mk-MK" w:eastAsia="ar-SA"/>
        </w:rPr>
      </w:pPr>
      <w:r>
        <w:rPr>
          <w:rFonts w:ascii="StobiSerif Regular" w:hAnsi="StobiSerif Regular"/>
          <w:sz w:val="22"/>
          <w:szCs w:val="22"/>
          <w:lang w:val="mk-MK" w:eastAsia="ar-SA"/>
        </w:rPr>
        <w:tab/>
      </w:r>
      <w:r w:rsidRPr="00677AE1">
        <w:rPr>
          <w:rFonts w:ascii="StobiSerif Regular" w:hAnsi="StobiSerif Regular"/>
          <w:sz w:val="22"/>
          <w:szCs w:val="22"/>
          <w:lang w:val="mk-MK" w:eastAsia="ar-SA"/>
        </w:rPr>
        <w:t xml:space="preserve">Имателот на информации на 02.10.2025 година до  Агенцијата по електронски пат достави Одговор на жалба бр.26-4251/5 од 02.10.2025 година, во кој е наведено: „...Неосновани се наводите на жалителот дека таквите информации им се потребни заради анализа на урбанистичкиот развој, деловна проценка и истражување на пазарот, од причина што истиот не докажа дека информациите за личните податоци, локациите и адресите на објектите за кои се издадени овие акти, се од круцијално значење за таквата анализа на урбанистичкиот развој, и дека последиците од давањето на таквите информации не се помали од јавниот интерес и целта на анализата која би се постигнала со таквите информации...имателот на информации Општина Велес не смее преку примена на Законот за слободен пристап до информации од јавен карактер да дава информации кои содржат лични податоци на странки во постапки пред овој орган, со што барателите на информации би </w:t>
      </w:r>
      <w:r w:rsidRPr="00677AE1">
        <w:rPr>
          <w:rFonts w:ascii="StobiSerif Regular" w:hAnsi="StobiSerif Regular"/>
          <w:sz w:val="22"/>
          <w:szCs w:val="22"/>
          <w:lang w:val="mk-MK" w:eastAsia="ar-SA"/>
        </w:rPr>
        <w:lastRenderedPageBreak/>
        <w:t>остварувале лични, приватни или индивидуални права односно истражувања на пазарот, изготвување на извештаи, анализи...“</w:t>
      </w:r>
    </w:p>
    <w:p w:rsidR="009A462F" w:rsidRPr="00986E7D" w:rsidRDefault="006E2FCB" w:rsidP="00677AE1">
      <w:pPr>
        <w:pStyle w:val="NoSpacing"/>
        <w:tabs>
          <w:tab w:val="left" w:pos="709"/>
        </w:tabs>
        <w:ind w:firstLine="0"/>
        <w:rPr>
          <w:rFonts w:ascii="StobiSerif Regular" w:hAnsi="StobiSerif Regular"/>
          <w:sz w:val="22"/>
          <w:szCs w:val="22"/>
          <w:lang w:val="mk-MK"/>
        </w:rPr>
      </w:pPr>
      <w:r w:rsidRPr="00986E7D">
        <w:rPr>
          <w:rFonts w:ascii="StobiSerif Regular" w:hAnsi="StobiSerif Regular"/>
          <w:sz w:val="22"/>
          <w:szCs w:val="22"/>
          <w:lang w:val="mk-MK"/>
        </w:rPr>
        <w:tab/>
      </w:r>
      <w:r w:rsidR="009A462F" w:rsidRPr="00986E7D">
        <w:rPr>
          <w:rFonts w:ascii="StobiSerif Regular" w:hAnsi="StobiSerif Regular"/>
          <w:sz w:val="22"/>
          <w:szCs w:val="22"/>
          <w:lang w:val="mk-MK"/>
        </w:rPr>
        <w:tab/>
      </w:r>
      <w:proofErr w:type="spellStart"/>
      <w:r w:rsidR="009A462F" w:rsidRPr="00986E7D">
        <w:rPr>
          <w:rFonts w:ascii="StobiSerif Regular" w:hAnsi="StobiSerif Regular"/>
          <w:sz w:val="22"/>
          <w:szCs w:val="22"/>
        </w:rPr>
        <w:t>Постапувајќи</w:t>
      </w:r>
      <w:proofErr w:type="spellEnd"/>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по</w:t>
      </w:r>
      <w:proofErr w:type="spellEnd"/>
      <w:r w:rsidR="009A462F" w:rsidRPr="00986E7D">
        <w:rPr>
          <w:rFonts w:ascii="StobiSerif Regular" w:hAnsi="StobiSerif Regular"/>
          <w:sz w:val="22"/>
          <w:szCs w:val="22"/>
          <w:lang w:val="mk-MK"/>
        </w:rPr>
        <w:t xml:space="preserve"> Ж</w:t>
      </w:r>
      <w:proofErr w:type="spellStart"/>
      <w:r w:rsidR="009A462F" w:rsidRPr="00986E7D">
        <w:rPr>
          <w:rFonts w:ascii="StobiSerif Regular" w:hAnsi="StobiSerif Regular"/>
          <w:sz w:val="22"/>
          <w:szCs w:val="22"/>
        </w:rPr>
        <w:t>алба</w:t>
      </w:r>
      <w:proofErr w:type="spellEnd"/>
      <w:r w:rsidR="009A462F" w:rsidRPr="00986E7D">
        <w:rPr>
          <w:rFonts w:ascii="StobiSerif Regular" w:hAnsi="StobiSerif Regular"/>
          <w:sz w:val="22"/>
          <w:szCs w:val="22"/>
          <w:lang w:val="mk-MK"/>
        </w:rPr>
        <w:t>та</w:t>
      </w:r>
      <w:r w:rsidR="009A462F" w:rsidRPr="00986E7D">
        <w:rPr>
          <w:rFonts w:ascii="StobiSerif Regular" w:hAnsi="StobiSerif Regular"/>
          <w:sz w:val="22"/>
          <w:szCs w:val="22"/>
        </w:rPr>
        <w:t xml:space="preserve">, </w:t>
      </w:r>
      <w:proofErr w:type="spellStart"/>
      <w:r w:rsidR="009A462F" w:rsidRPr="00986E7D">
        <w:rPr>
          <w:rFonts w:ascii="StobiSerif Regular" w:hAnsi="StobiSerif Regular"/>
          <w:sz w:val="22"/>
          <w:szCs w:val="22"/>
        </w:rPr>
        <w:t>Агенцијата</w:t>
      </w:r>
      <w:proofErr w:type="spellEnd"/>
      <w:r w:rsidR="00677AE1">
        <w:rPr>
          <w:rFonts w:ascii="StobiSerif Regular" w:hAnsi="StobiSerif Regular"/>
          <w:sz w:val="22"/>
          <w:szCs w:val="22"/>
          <w:lang w:val="mk-MK"/>
        </w:rPr>
        <w:t xml:space="preserve"> </w:t>
      </w:r>
      <w:r w:rsidR="009A462F" w:rsidRPr="00986E7D">
        <w:rPr>
          <w:rFonts w:ascii="StobiSerif Regular" w:hAnsi="StobiSerif Regular"/>
          <w:sz w:val="22"/>
          <w:szCs w:val="22"/>
        </w:rPr>
        <w:t>за</w:t>
      </w:r>
      <w:r w:rsidR="00677AE1">
        <w:rPr>
          <w:rFonts w:ascii="StobiSerif Regular" w:hAnsi="StobiSerif Regular"/>
          <w:sz w:val="22"/>
          <w:szCs w:val="22"/>
          <w:lang w:val="mk-MK"/>
        </w:rPr>
        <w:t xml:space="preserve"> </w:t>
      </w:r>
      <w:r w:rsidR="009A462F" w:rsidRPr="00986E7D">
        <w:rPr>
          <w:rFonts w:ascii="StobiSerif Regular" w:hAnsi="StobiSerif Regular"/>
          <w:sz w:val="22"/>
          <w:szCs w:val="22"/>
        </w:rPr>
        <w:t>заштита</w:t>
      </w:r>
      <w:r w:rsidR="00677AE1">
        <w:rPr>
          <w:rFonts w:ascii="StobiSerif Regular" w:hAnsi="StobiSerif Regular"/>
          <w:sz w:val="22"/>
          <w:szCs w:val="22"/>
          <w:lang w:val="mk-MK"/>
        </w:rPr>
        <w:t xml:space="preserve"> </w:t>
      </w:r>
      <w:r w:rsidR="009A462F" w:rsidRPr="00986E7D">
        <w:rPr>
          <w:rFonts w:ascii="StobiSerif Regular" w:hAnsi="StobiSerif Regular"/>
          <w:sz w:val="22"/>
          <w:szCs w:val="22"/>
        </w:rPr>
        <w:t>на</w:t>
      </w:r>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правото</w:t>
      </w:r>
      <w:proofErr w:type="spellEnd"/>
      <w:r w:rsidR="00677AE1">
        <w:rPr>
          <w:rFonts w:ascii="StobiSerif Regular" w:hAnsi="StobiSerif Regular"/>
          <w:sz w:val="22"/>
          <w:szCs w:val="22"/>
          <w:lang w:val="mk-MK"/>
        </w:rPr>
        <w:t xml:space="preserve"> </w:t>
      </w:r>
      <w:r w:rsidR="009A462F" w:rsidRPr="00986E7D">
        <w:rPr>
          <w:rFonts w:ascii="StobiSerif Regular" w:hAnsi="StobiSerif Regular"/>
          <w:sz w:val="22"/>
          <w:szCs w:val="22"/>
        </w:rPr>
        <w:t>на</w:t>
      </w:r>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слободен</w:t>
      </w:r>
      <w:proofErr w:type="spellEnd"/>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пристап</w:t>
      </w:r>
      <w:proofErr w:type="spellEnd"/>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до</w:t>
      </w:r>
      <w:proofErr w:type="spellEnd"/>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информациите</w:t>
      </w:r>
      <w:proofErr w:type="spellEnd"/>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од</w:t>
      </w:r>
      <w:proofErr w:type="spellEnd"/>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јавен</w:t>
      </w:r>
      <w:proofErr w:type="spellEnd"/>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карактер</w:t>
      </w:r>
      <w:proofErr w:type="spellEnd"/>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истата</w:t>
      </w:r>
      <w:proofErr w:type="spellEnd"/>
      <w:r w:rsidR="00677AE1">
        <w:rPr>
          <w:rFonts w:ascii="StobiSerif Regular" w:hAnsi="StobiSerif Regular"/>
          <w:sz w:val="22"/>
          <w:szCs w:val="22"/>
          <w:lang w:val="mk-MK"/>
        </w:rPr>
        <w:t xml:space="preserve"> </w:t>
      </w:r>
      <w:proofErr w:type="spellStart"/>
      <w:r w:rsidR="009A462F" w:rsidRPr="00986E7D">
        <w:rPr>
          <w:rFonts w:ascii="StobiSerif Regular" w:hAnsi="StobiSerif Regular"/>
          <w:b/>
          <w:sz w:val="22"/>
          <w:szCs w:val="22"/>
        </w:rPr>
        <w:t>ја</w:t>
      </w:r>
      <w:proofErr w:type="spellEnd"/>
      <w:r w:rsidR="009A462F" w:rsidRPr="00986E7D">
        <w:rPr>
          <w:rFonts w:ascii="StobiSerif Regular" w:hAnsi="StobiSerif Regular"/>
          <w:b/>
          <w:sz w:val="22"/>
          <w:szCs w:val="22"/>
          <w:lang w:val="mk-MK"/>
        </w:rPr>
        <w:t xml:space="preserve"> уважи</w:t>
      </w:r>
      <w:r w:rsidR="009A462F" w:rsidRPr="00986E7D">
        <w:rPr>
          <w:rFonts w:ascii="StobiSerif Regular" w:hAnsi="StobiSerif Regular"/>
          <w:sz w:val="22"/>
          <w:szCs w:val="22"/>
        </w:rPr>
        <w:t>,</w:t>
      </w:r>
      <w:r w:rsidR="00677AE1">
        <w:rPr>
          <w:rFonts w:ascii="StobiSerif Regular" w:hAnsi="StobiSerif Regular"/>
          <w:sz w:val="22"/>
          <w:szCs w:val="22"/>
          <w:lang w:val="mk-MK"/>
        </w:rPr>
        <w:t xml:space="preserve"> </w:t>
      </w:r>
      <w:r w:rsidR="009A462F"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009A462F" w:rsidRPr="00986E7D">
        <w:rPr>
          <w:rFonts w:ascii="StobiSerif Regular" w:hAnsi="StobiSerif Regular"/>
          <w:b/>
          <w:sz w:val="22"/>
          <w:szCs w:val="22"/>
          <w:lang w:val="mk-MK"/>
        </w:rPr>
        <w:t xml:space="preserve"> на Имателот на информации</w:t>
      </w:r>
      <w:r w:rsidR="00677AE1">
        <w:rPr>
          <w:rFonts w:ascii="StobiSerif Regular" w:hAnsi="StobiSerif Regular"/>
          <w:b/>
          <w:sz w:val="22"/>
          <w:szCs w:val="22"/>
          <w:lang w:val="mk-MK"/>
        </w:rPr>
        <w:t xml:space="preserve"> </w:t>
      </w:r>
      <w:r w:rsidR="00677AE1" w:rsidRPr="00677AE1">
        <w:rPr>
          <w:rFonts w:ascii="StobiSerif Regular" w:hAnsi="StobiSerif Regular"/>
          <w:b/>
          <w:sz w:val="22"/>
          <w:szCs w:val="22"/>
          <w:lang w:val="mk-MK"/>
        </w:rPr>
        <w:t>бр.26-4251/3 од 18.09.2025 година</w:t>
      </w:r>
      <w:r w:rsidR="009A462F" w:rsidRPr="00986E7D">
        <w:rPr>
          <w:rFonts w:ascii="StobiSerif Regular" w:hAnsi="StobiSerif Regular"/>
          <w:b/>
          <w:sz w:val="22"/>
          <w:szCs w:val="22"/>
          <w:lang w:val="mk-MK"/>
        </w:rPr>
        <w:t xml:space="preserve"> го поништи и предметот го врати на повторно постапување пред првостепениот орган</w:t>
      </w:r>
      <w:r w:rsidR="009A462F" w:rsidRPr="00986E7D">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поради</w:t>
      </w:r>
      <w:proofErr w:type="spellEnd"/>
      <w:r w:rsidR="00677AE1">
        <w:rPr>
          <w:rFonts w:ascii="StobiSerif Regular" w:hAnsi="StobiSerif Regular"/>
          <w:sz w:val="22"/>
          <w:szCs w:val="22"/>
          <w:lang w:val="mk-MK"/>
        </w:rPr>
        <w:t xml:space="preserve"> </w:t>
      </w:r>
      <w:proofErr w:type="spellStart"/>
      <w:r w:rsidR="009A462F" w:rsidRPr="00986E7D">
        <w:rPr>
          <w:rFonts w:ascii="StobiSerif Regular" w:hAnsi="StobiSerif Regular"/>
          <w:sz w:val="22"/>
          <w:szCs w:val="22"/>
        </w:rPr>
        <w:t>следното</w:t>
      </w:r>
      <w:proofErr w:type="spellEnd"/>
      <w:r w:rsidR="009A462F" w:rsidRPr="00986E7D">
        <w:rPr>
          <w:rFonts w:ascii="StobiSerif Regular" w:hAnsi="StobiSerif Regular"/>
          <w:sz w:val="22"/>
          <w:szCs w:val="22"/>
        </w:rPr>
        <w:t>:</w:t>
      </w:r>
    </w:p>
    <w:p w:rsidR="00EE2B7C" w:rsidRDefault="00831654" w:rsidP="002F700C">
      <w:pPr>
        <w:ind w:firstLine="720"/>
        <w:jc w:val="both"/>
        <w:rPr>
          <w:rFonts w:ascii="StobiSerif Regular" w:eastAsia="Arial Unicode MS" w:hAnsi="StobiSerif Regular" w:cs="Arial Unicode MS"/>
          <w:sz w:val="22"/>
          <w:szCs w:val="22"/>
          <w:lang w:val="mk-MK"/>
        </w:rPr>
      </w:pPr>
      <w:r w:rsidRPr="00831654">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831654">
        <w:rPr>
          <w:rFonts w:ascii="StobiSerif Regular" w:eastAsia="Arial Unicode MS" w:hAnsi="StobiSerif Regular" w:cs="Arial Unicode MS"/>
          <w:sz w:val="22"/>
          <w:szCs w:val="22"/>
        </w:rPr>
        <w:t>1</w:t>
      </w:r>
      <w:r w:rsidRPr="0083165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4818B0">
        <w:rPr>
          <w:rFonts w:ascii="StobiSerif Regular" w:eastAsia="Arial Unicode MS" w:hAnsi="StobiSerif Regular" w:cs="Arial Unicode MS"/>
          <w:sz w:val="22"/>
          <w:szCs w:val="22"/>
          <w:lang w:val="mk-MK"/>
        </w:rPr>
        <w:t xml:space="preserve">но, </w:t>
      </w:r>
      <w:r w:rsidR="00EE2B7C">
        <w:rPr>
          <w:rFonts w:ascii="StobiSerif Regular" w:eastAsia="Arial Unicode MS" w:hAnsi="StobiSerif Regular" w:cs="Arial Unicode MS"/>
          <w:sz w:val="22"/>
          <w:szCs w:val="22"/>
          <w:lang w:val="mk-MK"/>
        </w:rPr>
        <w:t>иако донел Решение со кое делумно го одбива пристапот</w:t>
      </w:r>
      <w:r w:rsidR="004818B0">
        <w:rPr>
          <w:rFonts w:ascii="StobiSerif Regular" w:eastAsia="Arial Unicode MS" w:hAnsi="StobiSerif Regular" w:cs="Arial Unicode MS"/>
          <w:sz w:val="22"/>
          <w:szCs w:val="22"/>
          <w:lang w:val="mk-MK"/>
        </w:rPr>
        <w:t>,</w:t>
      </w:r>
      <w:r w:rsidR="00EE2B7C">
        <w:rPr>
          <w:rFonts w:ascii="StobiSerif Regular" w:eastAsia="Arial Unicode MS" w:hAnsi="StobiSerif Regular" w:cs="Arial Unicode MS"/>
          <w:sz w:val="22"/>
          <w:szCs w:val="22"/>
          <w:lang w:val="mk-MK"/>
        </w:rPr>
        <w:t xml:space="preserve"> Имател</w:t>
      </w:r>
      <w:r w:rsidR="00C16D24">
        <w:rPr>
          <w:rFonts w:ascii="StobiSerif Regular" w:eastAsia="Arial Unicode MS" w:hAnsi="StobiSerif Regular" w:cs="Arial Unicode MS"/>
          <w:sz w:val="22"/>
          <w:szCs w:val="22"/>
          <w:lang w:val="mk-MK"/>
        </w:rPr>
        <w:t xml:space="preserve">от на информации </w:t>
      </w:r>
      <w:r w:rsidR="00677AE1">
        <w:rPr>
          <w:rFonts w:ascii="StobiSerif Regular" w:eastAsia="Arial Unicode MS" w:hAnsi="StobiSerif Regular" w:cs="Arial Unicode MS"/>
          <w:sz w:val="22"/>
          <w:szCs w:val="22"/>
          <w:lang w:val="mk-MK"/>
        </w:rPr>
        <w:t xml:space="preserve">правилно </w:t>
      </w:r>
      <w:r w:rsidR="00C16D24">
        <w:rPr>
          <w:rFonts w:ascii="StobiSerif Regular" w:eastAsia="Arial Unicode MS" w:hAnsi="StobiSerif Regular" w:cs="Arial Unicode MS"/>
          <w:sz w:val="22"/>
          <w:szCs w:val="22"/>
          <w:lang w:val="mk-MK"/>
        </w:rPr>
        <w:t>не го спровел</w:t>
      </w:r>
      <w:bookmarkStart w:id="0" w:name="_GoBack"/>
      <w:bookmarkEnd w:id="0"/>
      <w:r w:rsidR="00EE2B7C">
        <w:rPr>
          <w:rFonts w:ascii="StobiSerif Regular" w:eastAsia="Arial Unicode MS" w:hAnsi="StobiSerif Regular" w:cs="Arial Unicode MS"/>
          <w:sz w:val="22"/>
          <w:szCs w:val="22"/>
          <w:lang w:val="mk-MK"/>
        </w:rPr>
        <w:t xml:space="preserve"> Тестот на штетност</w:t>
      </w:r>
      <w:r w:rsidR="00677AE1">
        <w:rPr>
          <w:rFonts w:ascii="StobiSerif Regular" w:eastAsia="Arial Unicode MS" w:hAnsi="StobiSerif Regular" w:cs="Arial Unicode MS"/>
          <w:sz w:val="22"/>
          <w:szCs w:val="22"/>
          <w:lang w:val="mk-MK"/>
        </w:rPr>
        <w:t>,</w:t>
      </w:r>
      <w:r w:rsidR="00EE2B7C">
        <w:rPr>
          <w:rFonts w:ascii="StobiSerif Regular" w:eastAsia="Arial Unicode MS" w:hAnsi="StobiSerif Regular" w:cs="Arial Unicode MS"/>
          <w:sz w:val="22"/>
          <w:szCs w:val="22"/>
          <w:lang w:val="mk-MK"/>
        </w:rPr>
        <w:t xml:space="preserve"> како задолжителна постапка при одбивање на пристапот.</w:t>
      </w:r>
    </w:p>
    <w:p w:rsidR="004818B0" w:rsidRDefault="00606C5E" w:rsidP="004818B0">
      <w:pPr>
        <w:ind w:firstLine="720"/>
        <w:jc w:val="both"/>
        <w:rPr>
          <w:rFonts w:ascii="StobiSerif Regular" w:hAnsi="StobiSerif Regular"/>
          <w:sz w:val="22"/>
          <w:szCs w:val="22"/>
          <w:lang w:val="mk-MK"/>
        </w:rPr>
      </w:pPr>
      <w:r>
        <w:rPr>
          <w:rFonts w:ascii="StobiSerif Regular" w:hAnsi="StobiSerif Regular"/>
          <w:sz w:val="22"/>
          <w:szCs w:val="22"/>
          <w:lang w:val="mk-MK"/>
        </w:rPr>
        <w:t>Согласно</w:t>
      </w:r>
      <w:r w:rsidR="004818B0" w:rsidRPr="004818B0">
        <w:rPr>
          <w:rFonts w:ascii="StobiSerif Regular" w:hAnsi="StobiSerif Regular"/>
          <w:sz w:val="22"/>
          <w:szCs w:val="22"/>
          <w:lang w:val="mk-MK"/>
        </w:rPr>
        <w:t xml:space="preserve"> 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4818B0">
        <w:rPr>
          <w:rFonts w:ascii="StobiSerif Regular" w:hAnsi="StobiSerif Regular"/>
          <w:sz w:val="22"/>
          <w:szCs w:val="22"/>
          <w:lang w:val="mk-MK"/>
        </w:rPr>
        <w:t>.</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 xml:space="preserve">Агенцијата </w:t>
      </w:r>
      <w:r w:rsidR="006F1088">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w:t>
      </w:r>
      <w:r w:rsidR="00DC08FD">
        <w:rPr>
          <w:rFonts w:ascii="StobiSerif Regular" w:hAnsi="StobiSerif Regular"/>
          <w:sz w:val="22"/>
          <w:szCs w:val="22"/>
          <w:lang w:val="mk-MK"/>
        </w:rPr>
        <w:t xml:space="preserve">е должен </w:t>
      </w:r>
      <w:r w:rsidR="006F1088">
        <w:rPr>
          <w:rFonts w:ascii="StobiSerif Regular" w:hAnsi="StobiSerif Regular"/>
          <w:sz w:val="22"/>
          <w:szCs w:val="22"/>
          <w:lang w:val="mk-MK"/>
        </w:rPr>
        <w:t>одново да</w:t>
      </w:r>
      <w:r w:rsidR="00CC6ACD">
        <w:rPr>
          <w:rFonts w:ascii="StobiSerif Regular" w:hAnsi="StobiSerif Regular"/>
          <w:sz w:val="22"/>
          <w:szCs w:val="22"/>
          <w:lang w:val="mk-MK"/>
        </w:rPr>
        <w:t xml:space="preserve"> </w:t>
      </w:r>
      <w:r w:rsidR="008A0520">
        <w:rPr>
          <w:rFonts w:ascii="StobiSerif Regular" w:hAnsi="StobiSerif Regular"/>
          <w:sz w:val="22"/>
          <w:szCs w:val="22"/>
          <w:lang w:val="mk-MK"/>
        </w:rPr>
        <w:t>го разгледа Барањето на Барателот, со тоа што</w:t>
      </w:r>
      <w:r w:rsidR="00CC6ACD">
        <w:rPr>
          <w:rFonts w:ascii="StobiSerif Regular" w:hAnsi="StobiSerif Regular"/>
          <w:sz w:val="22"/>
          <w:szCs w:val="22"/>
          <w:lang w:val="mk-MK"/>
        </w:rPr>
        <w:t xml:space="preserve"> одново треба</w:t>
      </w:r>
      <w:r w:rsidR="00DC08FD">
        <w:rPr>
          <w:rFonts w:ascii="StobiSerif Regular" w:hAnsi="StobiSerif Regular"/>
          <w:sz w:val="22"/>
          <w:szCs w:val="22"/>
          <w:lang w:val="mk-MK"/>
        </w:rPr>
        <w:t xml:space="preserve"> да утврди дали бараните</w:t>
      </w:r>
      <w:r w:rsidRPr="004818B0">
        <w:rPr>
          <w:rFonts w:ascii="StobiSerif Regular" w:hAnsi="StobiSerif Regular"/>
          <w:sz w:val="22"/>
          <w:szCs w:val="22"/>
          <w:lang w:val="mk-MK"/>
        </w:rPr>
        <w:t xml:space="preserve"> информации</w:t>
      </w:r>
      <w:r w:rsidR="00DC08FD">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sidR="00DC08FD">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Поконкретно</w:t>
      </w:r>
      <w:r w:rsidR="009A656B">
        <w:rPr>
          <w:rFonts w:ascii="StobiSerif Regular" w:hAnsi="StobiSerif Regular"/>
          <w:sz w:val="22"/>
          <w:szCs w:val="22"/>
          <w:lang w:val="mk-MK"/>
        </w:rPr>
        <w:t>, во</w:t>
      </w:r>
      <w:r w:rsidRPr="004818B0">
        <w:rPr>
          <w:rFonts w:ascii="StobiSerif Regular" w:hAnsi="StobiSerif Regular"/>
          <w:sz w:val="22"/>
          <w:szCs w:val="22"/>
          <w:lang w:val="mk-MK"/>
        </w:rPr>
        <w:t xml:space="preserve"> случајов</w:t>
      </w:r>
      <w:r w:rsidR="00CC6ACD">
        <w:rPr>
          <w:rFonts w:ascii="StobiSerif Regular" w:hAnsi="StobiSerif Regular"/>
          <w:sz w:val="22"/>
          <w:szCs w:val="22"/>
          <w:lang w:val="mk-MK"/>
        </w:rPr>
        <w:t xml:space="preserve"> </w:t>
      </w:r>
      <w:r w:rsidR="00DC08FD">
        <w:rPr>
          <w:rFonts w:ascii="StobiSerif Regular" w:hAnsi="StobiSerif Regular"/>
          <w:sz w:val="22"/>
          <w:szCs w:val="22"/>
          <w:lang w:val="mk-MK"/>
        </w:rPr>
        <w:t>треба да се утврди дали бараните податоци</w:t>
      </w:r>
      <w:r w:rsidR="002A7256">
        <w:rPr>
          <w:rFonts w:ascii="StobiSerif Regular" w:hAnsi="StobiSerif Regular"/>
          <w:sz w:val="22"/>
          <w:szCs w:val="22"/>
          <w:lang w:val="mk-MK"/>
        </w:rPr>
        <w:t xml:space="preserve"> кои ги одбива</w:t>
      </w:r>
      <w:r w:rsidR="00DC08FD">
        <w:rPr>
          <w:rFonts w:ascii="StobiSerif Regular" w:hAnsi="StobiSerif Regular"/>
          <w:sz w:val="22"/>
          <w:szCs w:val="22"/>
          <w:lang w:val="mk-MK"/>
        </w:rPr>
        <w:t xml:space="preserve"> се опфатени со</w:t>
      </w:r>
      <w:r w:rsidRPr="004818B0">
        <w:rPr>
          <w:rFonts w:ascii="StobiSerif Regular" w:hAnsi="StobiSerif Regular"/>
          <w:sz w:val="22"/>
          <w:szCs w:val="22"/>
          <w:lang w:val="mk-MK"/>
        </w:rPr>
        <w:t xml:space="preserve"> член 10 став 1 алинеја 1, </w:t>
      </w:r>
      <w:r w:rsidR="005548B6">
        <w:rPr>
          <w:rFonts w:ascii="StobiSerif Regular" w:hAnsi="StobiSerif Regular"/>
          <w:sz w:val="22"/>
          <w:szCs w:val="22"/>
          <w:lang w:val="mk-MK"/>
        </w:rPr>
        <w:t xml:space="preserve">8, </w:t>
      </w:r>
      <w:r>
        <w:rPr>
          <w:rFonts w:ascii="StobiSerif Regular" w:hAnsi="StobiSerif Regular"/>
          <w:sz w:val="22"/>
          <w:szCs w:val="22"/>
          <w:lang w:val="mk-MK"/>
        </w:rPr>
        <w:t>18,</w:t>
      </w:r>
      <w:r w:rsidRPr="004818B0">
        <w:rPr>
          <w:rFonts w:ascii="StobiSerif Regular" w:hAnsi="StobiSerif Regular"/>
          <w:sz w:val="22"/>
          <w:szCs w:val="22"/>
          <w:lang w:val="mk-MK"/>
        </w:rPr>
        <w:t xml:space="preserve"> </w:t>
      </w:r>
      <w:r w:rsidR="005548B6">
        <w:rPr>
          <w:rFonts w:ascii="StobiSerif Regular" w:hAnsi="StobiSerif Regular"/>
          <w:sz w:val="22"/>
          <w:szCs w:val="22"/>
          <w:lang w:val="mk-MK"/>
        </w:rPr>
        <w:t xml:space="preserve">20, </w:t>
      </w:r>
      <w:r w:rsidRPr="004818B0">
        <w:rPr>
          <w:rFonts w:ascii="StobiSerif Regular" w:hAnsi="StobiSerif Regular"/>
          <w:sz w:val="22"/>
          <w:szCs w:val="22"/>
          <w:lang w:val="mk-MK"/>
        </w:rPr>
        <w:t>21 и 22 од Закон</w:t>
      </w:r>
      <w:r w:rsidR="00A4106E">
        <w:rPr>
          <w:rFonts w:ascii="StobiSerif Regular" w:hAnsi="StobiSerif Regular"/>
          <w:sz w:val="22"/>
          <w:szCs w:val="22"/>
          <w:lang w:val="mk-MK"/>
        </w:rPr>
        <w:t>от за слободен пристап до информации од јавен карактер, или пак</w:t>
      </w:r>
      <w:r w:rsidR="005548B6">
        <w:rPr>
          <w:rFonts w:ascii="StobiSerif Regular" w:hAnsi="StobiSerif Regular"/>
          <w:sz w:val="22"/>
          <w:szCs w:val="22"/>
          <w:lang w:val="mk-MK"/>
        </w:rPr>
        <w:t xml:space="preserve"> спаѓаат во редот на исклучоци од слободниот пристап наведени во</w:t>
      </w:r>
      <w:r w:rsidR="00A4106E">
        <w:rPr>
          <w:rFonts w:ascii="StobiSerif Regular" w:hAnsi="StobiSerif Regular"/>
          <w:sz w:val="22"/>
          <w:szCs w:val="22"/>
          <w:lang w:val="mk-MK"/>
        </w:rPr>
        <w:t xml:space="preserve"> член 6 став 1 од истиот Закон</w:t>
      </w:r>
      <w:r w:rsidR="00DC08FD">
        <w:rPr>
          <w:rFonts w:ascii="StobiSerif Regular" w:hAnsi="StobiSerif Regular"/>
          <w:sz w:val="22"/>
          <w:szCs w:val="22"/>
          <w:lang w:val="mk-MK"/>
        </w:rPr>
        <w:t xml:space="preserve">. </w:t>
      </w:r>
    </w:p>
    <w:p w:rsidR="00606C5E" w:rsidRDefault="00606C5E" w:rsidP="004818B0">
      <w:pPr>
        <w:ind w:firstLine="720"/>
        <w:jc w:val="both"/>
        <w:rPr>
          <w:rFonts w:ascii="StobiSerif Regular" w:hAnsi="StobiSerif Regular"/>
          <w:sz w:val="22"/>
          <w:szCs w:val="22"/>
          <w:lang w:val="mk-MK"/>
        </w:rPr>
      </w:pPr>
      <w:r>
        <w:rPr>
          <w:rFonts w:ascii="StobiSerif Regular" w:hAnsi="StobiSerif Regular"/>
          <w:sz w:val="22"/>
          <w:szCs w:val="22"/>
          <w:lang w:val="mk-MK"/>
        </w:rPr>
        <w:t>Во тоој контекст</w:t>
      </w:r>
      <w:r w:rsidRPr="00606C5E">
        <w:rPr>
          <w:rFonts w:ascii="StobiSerif Regular" w:hAnsi="StobiSerif Regular"/>
          <w:sz w:val="22"/>
          <w:szCs w:val="22"/>
          <w:lang w:val="mk-MK"/>
        </w:rPr>
        <w:t>, Агенцијата му укажува на Имателот на информации дека, барање за пристап до информации може да одбие единствено согласно член 6 став 1 од Законот за слободен пристап до информации од јавен карактер, каде таксативно се наброени 5-те исклуци од слободниот пристап до информации од јавен карактер и тоа по спроведен тест на штетност како задолжителна постапка при одбивање на пристапот до бараната информација регулиран во член 3 точка 6 и член 6 став 3 од Законот за слободен пристап до информации од јавен карактер, со кое се утврдува дека со објавувањето на таквата информација последиците врз интересот кој се заштитува се поголеми од јавниот интерес, наведувајќи и прецизирајќи ги притоа штетните последици кои би настапиле со објавувањето на</w:t>
      </w:r>
      <w:r>
        <w:rPr>
          <w:rFonts w:ascii="StobiSerif Regular" w:hAnsi="StobiSerif Regular"/>
          <w:sz w:val="22"/>
          <w:szCs w:val="22"/>
          <w:lang w:val="mk-MK"/>
        </w:rPr>
        <w:t xml:space="preserve"> </w:t>
      </w:r>
      <w:r w:rsidRPr="00606C5E">
        <w:rPr>
          <w:rFonts w:ascii="StobiSerif Regular" w:hAnsi="StobiSerif Regular"/>
          <w:sz w:val="22"/>
          <w:szCs w:val="22"/>
          <w:lang w:val="mk-MK"/>
        </w:rPr>
        <w:t>бараните информации.</w:t>
      </w:r>
    </w:p>
    <w:p w:rsidR="00C16D24" w:rsidRDefault="00606C5E" w:rsidP="00C16D24">
      <w:pPr>
        <w:ind w:firstLine="720"/>
        <w:jc w:val="both"/>
        <w:rPr>
          <w:rFonts w:ascii="StobiSerif Regular" w:hAnsi="StobiSerif Regular"/>
          <w:bCs/>
          <w:sz w:val="22"/>
          <w:szCs w:val="22"/>
          <w:lang w:val="mk-MK"/>
        </w:rPr>
      </w:pPr>
      <w:r>
        <w:rPr>
          <w:rFonts w:ascii="StobiSerif Regular" w:hAnsi="StobiSerif Regular"/>
          <w:bCs/>
          <w:sz w:val="22"/>
          <w:szCs w:val="22"/>
          <w:lang w:val="mk-MK"/>
        </w:rPr>
        <w:t>Притоа</w:t>
      </w:r>
      <w:r w:rsidR="00C16D24">
        <w:rPr>
          <w:rFonts w:ascii="StobiSerif Regular" w:hAnsi="StobiSerif Regular"/>
          <w:bCs/>
          <w:sz w:val="22"/>
          <w:szCs w:val="22"/>
          <w:lang w:val="mk-MK"/>
        </w:rPr>
        <w:t xml:space="preserve">, Агенцијата му укажува на Имателот на информации дека е должен да има предвид дека </w:t>
      </w:r>
      <w:r w:rsidR="00C16D24">
        <w:rPr>
          <w:rFonts w:ascii="StobiSerif Regular" w:hAnsi="StobiSerif Regular"/>
          <w:bCs/>
          <w:sz w:val="22"/>
          <w:szCs w:val="22"/>
          <w:u w:val="single"/>
          <w:lang w:val="mk-MK"/>
        </w:rPr>
        <w:t>исклучоците не се апсолутни</w:t>
      </w:r>
      <w:r w:rsidR="00C16D24">
        <w:rPr>
          <w:rFonts w:ascii="StobiSerif Regular" w:hAnsi="StobiSerif Regular"/>
          <w:bCs/>
          <w:sz w:val="22"/>
          <w:szCs w:val="22"/>
          <w:lang w:val="mk-MK"/>
        </w:rPr>
        <w:t xml:space="preserve">, на што укажува и одредбата од член </w:t>
      </w:r>
      <w:bookmarkStart w:id="1" w:name="_Hlk197339563"/>
      <w:r w:rsidR="00C16D24">
        <w:rPr>
          <w:rFonts w:ascii="StobiSerif Regular" w:hAnsi="StobiSerif Regular"/>
          <w:bCs/>
          <w:sz w:val="22"/>
          <w:szCs w:val="22"/>
          <w:lang w:val="mk-MK"/>
        </w:rPr>
        <w:t>6 став 3 од Законот за слободен пристап до информации од јавен карактер</w:t>
      </w:r>
      <w:bookmarkEnd w:id="1"/>
      <w:r w:rsidR="00C16D24">
        <w:rPr>
          <w:rFonts w:ascii="StobiSerif Regular" w:hAnsi="StobiSerif Regular"/>
          <w:bCs/>
          <w:sz w:val="22"/>
          <w:szCs w:val="22"/>
          <w:lang w:val="mk-MK"/>
        </w:rPr>
        <w:t>, според која: „</w:t>
      </w:r>
      <w:r w:rsidR="00C16D24">
        <w:rPr>
          <w:rFonts w:ascii="StobiSerif Regular" w:hAnsi="StobiSerif Regular"/>
          <w:bCs/>
          <w:sz w:val="22"/>
          <w:szCs w:val="22"/>
          <w:u w:val="single"/>
          <w:lang w:val="mk-MK"/>
        </w:rPr>
        <w:t>По исклучок</w:t>
      </w:r>
      <w:r w:rsidR="00C16D24">
        <w:rPr>
          <w:rFonts w:ascii="StobiSerif Regular" w:hAnsi="StobiSerif Regular"/>
          <w:bCs/>
          <w:sz w:val="22"/>
          <w:szCs w:val="22"/>
          <w:lang w:val="mk-MK"/>
        </w:rPr>
        <w:t xml:space="preserve"> од ставот 1 на овој член </w:t>
      </w:r>
      <w:r w:rsidR="00C16D24">
        <w:rPr>
          <w:rFonts w:ascii="StobiSerif Regular" w:hAnsi="StobiSerif Regular"/>
          <w:bCs/>
          <w:sz w:val="22"/>
          <w:szCs w:val="22"/>
          <w:u w:val="single"/>
          <w:lang w:val="mk-MK"/>
        </w:rPr>
        <w:t xml:space="preserve">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w:t>
      </w:r>
      <w:r w:rsidR="00C16D24">
        <w:rPr>
          <w:rFonts w:ascii="StobiSerif Regular" w:hAnsi="StobiSerif Regular"/>
          <w:bCs/>
          <w:sz w:val="22"/>
          <w:szCs w:val="22"/>
          <w:u w:val="single"/>
          <w:lang w:val="mk-MK"/>
        </w:rPr>
        <w:lastRenderedPageBreak/>
        <w:t>со објавувањето на информацијата</w:t>
      </w:r>
      <w:r w:rsidR="00C16D24">
        <w:rPr>
          <w:rFonts w:ascii="StobiSerif Regular" w:hAnsi="StobiSerif Regular"/>
          <w:bCs/>
          <w:sz w:val="22"/>
          <w:szCs w:val="22"/>
          <w:lang w:val="mk-MK"/>
        </w:rPr>
        <w:t xml:space="preserve">“. Исто така, согласно одредбата од став </w:t>
      </w:r>
      <w:r w:rsidR="00C16D24">
        <w:rPr>
          <w:rFonts w:ascii="StobiSerif Regular" w:hAnsi="StobiSerif Regular"/>
          <w:bCs/>
          <w:sz w:val="22"/>
          <w:szCs w:val="22"/>
        </w:rPr>
        <w:t xml:space="preserve">(4) </w:t>
      </w:r>
      <w:r w:rsidR="00C16D24">
        <w:rPr>
          <w:rFonts w:ascii="StobiSerif Regular" w:hAnsi="StobiSerif Regular"/>
          <w:bCs/>
          <w:sz w:val="22"/>
          <w:szCs w:val="22"/>
          <w:lang w:val="mk-MK"/>
        </w:rPr>
        <w:t xml:space="preserve">од горенаведениот член, </w:t>
      </w:r>
      <w:r w:rsidR="00C16D24">
        <w:rPr>
          <w:rFonts w:ascii="StobiSerif Regular" w:hAnsi="StobiSerif Regular"/>
          <w:bCs/>
          <w:sz w:val="22"/>
          <w:szCs w:val="22"/>
          <w:u w:val="single"/>
          <w:lang w:val="mk-MK"/>
        </w:rPr>
        <w:t>а</w:t>
      </w:r>
      <w:proofErr w:type="spellStart"/>
      <w:r w:rsidR="00C16D24">
        <w:rPr>
          <w:rFonts w:ascii="StobiSerif Regular" w:hAnsi="StobiSerif Regular"/>
          <w:bCs/>
          <w:sz w:val="22"/>
          <w:szCs w:val="22"/>
          <w:u w:val="single"/>
        </w:rPr>
        <w:t>ко</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документот</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или</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негов</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дел</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содржи</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информации</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од</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ставот</w:t>
      </w:r>
      <w:proofErr w:type="spellEnd"/>
      <w:r w:rsidR="00C16D24">
        <w:rPr>
          <w:rFonts w:ascii="StobiSerif Regular" w:hAnsi="StobiSerif Regular"/>
          <w:bCs/>
          <w:sz w:val="22"/>
          <w:szCs w:val="22"/>
          <w:u w:val="single"/>
        </w:rPr>
        <w:t xml:space="preserve"> (1) на</w:t>
      </w:r>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овој</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член</w:t>
      </w:r>
      <w:proofErr w:type="spellEnd"/>
      <w:r w:rsidR="00C16D24">
        <w:rPr>
          <w:rFonts w:ascii="StobiSerif Regular" w:hAnsi="StobiSerif Regular"/>
          <w:bCs/>
          <w:sz w:val="22"/>
          <w:szCs w:val="22"/>
          <w:u w:val="single"/>
        </w:rPr>
        <w:t xml:space="preserve">, </w:t>
      </w:r>
      <w:proofErr w:type="spellStart"/>
      <w:r w:rsidR="00C16D24">
        <w:rPr>
          <w:rFonts w:ascii="StobiSerif Regular" w:hAnsi="StobiSerif Regular"/>
          <w:bCs/>
          <w:sz w:val="22"/>
          <w:szCs w:val="22"/>
          <w:u w:val="single"/>
        </w:rPr>
        <w:t>што</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можат</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да</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се</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одвојат</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од</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документот</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без</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притоа</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да</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се</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загрози</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неговата</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безбедност</w:t>
      </w:r>
      <w:proofErr w:type="spellEnd"/>
      <w:r w:rsidR="00C16D24">
        <w:rPr>
          <w:rFonts w:ascii="StobiSerif Regular" w:hAnsi="StobiSerif Regular"/>
          <w:bCs/>
          <w:sz w:val="22"/>
          <w:szCs w:val="22"/>
          <w:u w:val="single"/>
        </w:rPr>
        <w:t xml:space="preserve">, </w:t>
      </w:r>
      <w:proofErr w:type="spellStart"/>
      <w:r w:rsidR="00C16D24">
        <w:rPr>
          <w:rFonts w:ascii="StobiSerif Regular" w:hAnsi="StobiSerif Regular"/>
          <w:bCs/>
          <w:sz w:val="22"/>
          <w:szCs w:val="22"/>
          <w:u w:val="single"/>
        </w:rPr>
        <w:t>имателот</w:t>
      </w:r>
      <w:proofErr w:type="spellEnd"/>
      <w:r w:rsidR="005548B6">
        <w:rPr>
          <w:rFonts w:ascii="StobiSerif Regular" w:hAnsi="StobiSerif Regular"/>
          <w:bCs/>
          <w:sz w:val="22"/>
          <w:szCs w:val="22"/>
          <w:u w:val="single"/>
          <w:lang w:val="mk-MK"/>
        </w:rPr>
        <w:t xml:space="preserve"> </w:t>
      </w:r>
      <w:r w:rsidR="00C16D24">
        <w:rPr>
          <w:rFonts w:ascii="StobiSerif Regular" w:hAnsi="StobiSerif Regular"/>
          <w:bCs/>
          <w:sz w:val="22"/>
          <w:szCs w:val="22"/>
          <w:u w:val="single"/>
        </w:rPr>
        <w:t>на</w:t>
      </w:r>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информации</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ги</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одвојува</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тие</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информации</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од</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документот</w:t>
      </w:r>
      <w:proofErr w:type="spellEnd"/>
      <w:r w:rsidR="00C16D24">
        <w:rPr>
          <w:rFonts w:ascii="StobiSerif Regular" w:hAnsi="StobiSerif Regular"/>
          <w:bCs/>
          <w:sz w:val="22"/>
          <w:szCs w:val="22"/>
          <w:u w:val="single"/>
        </w:rPr>
        <w:t xml:space="preserve"> и </w:t>
      </w:r>
      <w:proofErr w:type="spellStart"/>
      <w:r w:rsidR="00C16D24">
        <w:rPr>
          <w:rFonts w:ascii="StobiSerif Regular" w:hAnsi="StobiSerif Regular"/>
          <w:bCs/>
          <w:sz w:val="22"/>
          <w:szCs w:val="22"/>
          <w:u w:val="single"/>
        </w:rPr>
        <w:t>го</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известува</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барателот</w:t>
      </w:r>
      <w:proofErr w:type="spellEnd"/>
      <w:r w:rsidR="005548B6">
        <w:rPr>
          <w:rFonts w:ascii="StobiSerif Regular" w:hAnsi="StobiSerif Regular"/>
          <w:bCs/>
          <w:sz w:val="22"/>
          <w:szCs w:val="22"/>
          <w:u w:val="single"/>
          <w:lang w:val="mk-MK"/>
        </w:rPr>
        <w:t xml:space="preserve"> </w:t>
      </w:r>
      <w:r w:rsidR="00C16D24">
        <w:rPr>
          <w:rFonts w:ascii="StobiSerif Regular" w:hAnsi="StobiSerif Regular"/>
          <w:bCs/>
          <w:sz w:val="22"/>
          <w:szCs w:val="22"/>
          <w:u w:val="single"/>
        </w:rPr>
        <w:t>за</w:t>
      </w:r>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содржината</w:t>
      </w:r>
      <w:proofErr w:type="spellEnd"/>
      <w:r w:rsidR="005548B6">
        <w:rPr>
          <w:rFonts w:ascii="StobiSerif Regular" w:hAnsi="StobiSerif Regular"/>
          <w:bCs/>
          <w:sz w:val="22"/>
          <w:szCs w:val="22"/>
          <w:u w:val="single"/>
          <w:lang w:val="mk-MK"/>
        </w:rPr>
        <w:t xml:space="preserve"> </w:t>
      </w:r>
      <w:r w:rsidR="00C16D24">
        <w:rPr>
          <w:rFonts w:ascii="StobiSerif Regular" w:hAnsi="StobiSerif Regular"/>
          <w:bCs/>
          <w:sz w:val="22"/>
          <w:szCs w:val="22"/>
          <w:u w:val="single"/>
        </w:rPr>
        <w:t>на</w:t>
      </w:r>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останатиот</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дел</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од</w:t>
      </w:r>
      <w:proofErr w:type="spellEnd"/>
      <w:r w:rsidR="005548B6">
        <w:rPr>
          <w:rFonts w:ascii="StobiSerif Regular" w:hAnsi="StobiSerif Regular"/>
          <w:bCs/>
          <w:sz w:val="22"/>
          <w:szCs w:val="22"/>
          <w:u w:val="single"/>
          <w:lang w:val="mk-MK"/>
        </w:rPr>
        <w:t xml:space="preserve"> </w:t>
      </w:r>
      <w:proofErr w:type="spellStart"/>
      <w:r w:rsidR="00C16D24">
        <w:rPr>
          <w:rFonts w:ascii="StobiSerif Regular" w:hAnsi="StobiSerif Regular"/>
          <w:bCs/>
          <w:sz w:val="22"/>
          <w:szCs w:val="22"/>
          <w:u w:val="single"/>
        </w:rPr>
        <w:t>документот</w:t>
      </w:r>
      <w:proofErr w:type="spellEnd"/>
      <w:r w:rsidR="00C16D24">
        <w:rPr>
          <w:rFonts w:ascii="StobiSerif Regular" w:hAnsi="StobiSerif Regular"/>
          <w:bCs/>
          <w:sz w:val="22"/>
          <w:szCs w:val="22"/>
        </w:rPr>
        <w:t>.</w:t>
      </w:r>
    </w:p>
    <w:p w:rsidR="00C16D24" w:rsidRDefault="00C16D24" w:rsidP="00C16D24">
      <w:pPr>
        <w:ind w:firstLine="720"/>
        <w:jc w:val="both"/>
        <w:rPr>
          <w:rFonts w:ascii="StobiSerif Regular" w:hAnsi="StobiSerif Regular"/>
          <w:bCs/>
          <w:sz w:val="22"/>
          <w:szCs w:val="22"/>
          <w:lang w:val="mk-MK"/>
        </w:rPr>
      </w:pPr>
      <w:r>
        <w:rPr>
          <w:rFonts w:ascii="StobiSerif Regular" w:hAnsi="StobiSerif Regular"/>
          <w:bCs/>
          <w:sz w:val="22"/>
          <w:szCs w:val="22"/>
          <w:lang w:val="mk-MK"/>
        </w:rPr>
        <w:t>Агенцијата</w:t>
      </w:r>
      <w:r w:rsidR="00606C5E">
        <w:rPr>
          <w:rFonts w:ascii="StobiSerif Regular" w:hAnsi="StobiSerif Regular"/>
          <w:bCs/>
          <w:sz w:val="22"/>
          <w:szCs w:val="22"/>
          <w:lang w:val="mk-MK"/>
        </w:rPr>
        <w:t xml:space="preserve"> посебно</w:t>
      </w:r>
      <w:r>
        <w:rPr>
          <w:rFonts w:ascii="StobiSerif Regular" w:hAnsi="StobiSerif Regular"/>
          <w:bCs/>
          <w:sz w:val="22"/>
          <w:szCs w:val="22"/>
          <w:lang w:val="mk-MK"/>
        </w:rPr>
        <w:t xml:space="preserve"> му укажува на Имателот на информации дека </w:t>
      </w:r>
      <w:r w:rsidR="00606C5E">
        <w:rPr>
          <w:rFonts w:ascii="StobiSerif Regular" w:hAnsi="StobiSerif Regular"/>
          <w:bCs/>
          <w:sz w:val="22"/>
          <w:szCs w:val="22"/>
          <w:lang w:val="mk-MK"/>
        </w:rPr>
        <w:t>со</w:t>
      </w:r>
      <w:r>
        <w:rPr>
          <w:rFonts w:ascii="StobiSerif Regular" w:hAnsi="StobiSerif Regular"/>
          <w:bCs/>
          <w:sz w:val="22"/>
          <w:szCs w:val="22"/>
          <w:lang w:val="mk-MK"/>
        </w:rPr>
        <w:t xml:space="preserve"> правилно спроведување на Тест</w:t>
      </w:r>
      <w:r w:rsidR="00606C5E">
        <w:rPr>
          <w:rFonts w:ascii="StobiSerif Regular" w:hAnsi="StobiSerif Regular"/>
          <w:bCs/>
          <w:sz w:val="22"/>
          <w:szCs w:val="22"/>
          <w:lang w:val="mk-MK"/>
        </w:rPr>
        <w:t>от</w:t>
      </w:r>
      <w:r>
        <w:rPr>
          <w:rFonts w:ascii="StobiSerif Regular" w:hAnsi="StobiSerif Regular"/>
          <w:bCs/>
          <w:sz w:val="22"/>
          <w:szCs w:val="22"/>
          <w:lang w:val="mk-MK"/>
        </w:rPr>
        <w:t xml:space="preserve"> на штетност </w:t>
      </w:r>
      <w:proofErr w:type="spellStart"/>
      <w:r>
        <w:rPr>
          <w:rFonts w:ascii="StobiSerif Regular" w:hAnsi="StobiSerif Regular"/>
          <w:bCs/>
          <w:sz w:val="22"/>
          <w:szCs w:val="22"/>
        </w:rPr>
        <w:t>ќе</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се</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утврди</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дека</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со</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објавувањето</w:t>
      </w:r>
      <w:proofErr w:type="spellEnd"/>
      <w:r w:rsidR="005548B6">
        <w:rPr>
          <w:rFonts w:ascii="StobiSerif Regular" w:hAnsi="StobiSerif Regular"/>
          <w:bCs/>
          <w:sz w:val="22"/>
          <w:szCs w:val="22"/>
          <w:lang w:val="mk-MK"/>
        </w:rPr>
        <w:t xml:space="preserve"> </w:t>
      </w:r>
      <w:r>
        <w:rPr>
          <w:rFonts w:ascii="StobiSerif Regular" w:hAnsi="StobiSerif Regular"/>
          <w:bCs/>
          <w:sz w:val="22"/>
          <w:szCs w:val="22"/>
        </w:rPr>
        <w:t>на</w:t>
      </w:r>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таквата</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информација</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последиците</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врз</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интересот</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кој</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се</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заштитува</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се</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помали</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од</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јавниот</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интерес</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утврден</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со</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закон</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што</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би</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се</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постигнал</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со</w:t>
      </w:r>
      <w:proofErr w:type="spellEnd"/>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објавувањето</w:t>
      </w:r>
      <w:proofErr w:type="spellEnd"/>
      <w:r w:rsidR="005548B6">
        <w:rPr>
          <w:rFonts w:ascii="StobiSerif Regular" w:hAnsi="StobiSerif Regular"/>
          <w:bCs/>
          <w:sz w:val="22"/>
          <w:szCs w:val="22"/>
          <w:lang w:val="mk-MK"/>
        </w:rPr>
        <w:t xml:space="preserve"> </w:t>
      </w:r>
      <w:r>
        <w:rPr>
          <w:rFonts w:ascii="StobiSerif Regular" w:hAnsi="StobiSerif Regular"/>
          <w:bCs/>
          <w:sz w:val="22"/>
          <w:szCs w:val="22"/>
        </w:rPr>
        <w:t>на</w:t>
      </w:r>
      <w:r w:rsidR="005548B6">
        <w:rPr>
          <w:rFonts w:ascii="StobiSerif Regular" w:hAnsi="StobiSerif Regular"/>
          <w:bCs/>
          <w:sz w:val="22"/>
          <w:szCs w:val="22"/>
          <w:lang w:val="mk-MK"/>
        </w:rPr>
        <w:t xml:space="preserve"> </w:t>
      </w:r>
      <w:proofErr w:type="spellStart"/>
      <w:r>
        <w:rPr>
          <w:rFonts w:ascii="StobiSerif Regular" w:hAnsi="StobiSerif Regular"/>
          <w:bCs/>
          <w:sz w:val="22"/>
          <w:szCs w:val="22"/>
        </w:rPr>
        <w:t>информацијата</w:t>
      </w:r>
      <w:proofErr w:type="spellEnd"/>
      <w:r>
        <w:rPr>
          <w:rFonts w:ascii="StobiSerif Regular" w:hAnsi="StobiSerif Regular"/>
          <w:bCs/>
          <w:sz w:val="22"/>
          <w:szCs w:val="22"/>
          <w:lang w:val="mk-MK"/>
        </w:rPr>
        <w:t xml:space="preserve">. </w:t>
      </w:r>
    </w:p>
    <w:p w:rsidR="002A7256" w:rsidRDefault="002A7256" w:rsidP="002A7256">
      <w:pPr>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 Имателот на информации</w:t>
      </w:r>
      <w:r w:rsidR="00606C5E">
        <w:rPr>
          <w:rFonts w:ascii="StobiSerif Regular" w:hAnsi="StobiSerif Regular"/>
          <w:sz w:val="22"/>
          <w:szCs w:val="22"/>
          <w:lang w:val="mk-MK"/>
        </w:rPr>
        <w:t xml:space="preserve"> </w:t>
      </w:r>
      <w:r>
        <w:rPr>
          <w:rFonts w:ascii="StobiSerif Regular" w:hAnsi="StobiSerif Regular"/>
          <w:sz w:val="22"/>
          <w:szCs w:val="22"/>
          <w:lang w:val="mk-MK"/>
        </w:rPr>
        <w:t xml:space="preserve">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986E7D" w:rsidRDefault="007D676B" w:rsidP="00811CCE">
      <w:pPr>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rsidR="007D676B" w:rsidRDefault="007D676B" w:rsidP="00811CCE">
      <w:pPr>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Пламенка Бојчева</w:t>
      </w:r>
    </w:p>
    <w:p w:rsidR="00EB3960" w:rsidRDefault="00EB3960" w:rsidP="00C20182">
      <w:pPr>
        <w:rPr>
          <w:rFonts w:ascii="StobiSerif Regular" w:hAnsi="StobiSerif Regular"/>
          <w:sz w:val="16"/>
          <w:szCs w:val="16"/>
          <w:lang w:val="mk-MK"/>
        </w:rPr>
      </w:pPr>
    </w:p>
    <w:sectPr w:rsidR="00EB3960"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A76" w:rsidRDefault="00C90A76">
      <w:r>
        <w:separator/>
      </w:r>
    </w:p>
  </w:endnote>
  <w:endnote w:type="continuationSeparator" w:id="1">
    <w:p w:rsidR="00C90A76" w:rsidRDefault="00C90A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7C" w:rsidRDefault="0092634C" w:rsidP="00734487">
    <w:pPr>
      <w:pStyle w:val="Footer"/>
      <w:framePr w:wrap="around" w:vAnchor="text" w:hAnchor="margin" w:xAlign="right" w:y="1"/>
      <w:rPr>
        <w:rStyle w:val="PageNumber"/>
      </w:rPr>
    </w:pPr>
    <w:r>
      <w:rPr>
        <w:rStyle w:val="PageNumber"/>
      </w:rPr>
      <w:fldChar w:fldCharType="begin"/>
    </w:r>
    <w:r w:rsidR="00EE2B7C">
      <w:rPr>
        <w:rStyle w:val="PageNumber"/>
      </w:rPr>
      <w:instrText xml:space="preserve">PAGE  </w:instrText>
    </w:r>
    <w:r>
      <w:rPr>
        <w:rStyle w:val="PageNumber"/>
      </w:rPr>
      <w:fldChar w:fldCharType="end"/>
    </w:r>
  </w:p>
  <w:p w:rsidR="00EE2B7C" w:rsidRDefault="00EE2B7C"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7C" w:rsidRDefault="0092634C" w:rsidP="00734487">
    <w:pPr>
      <w:pStyle w:val="Footer"/>
      <w:framePr w:wrap="around" w:vAnchor="text" w:hAnchor="margin" w:xAlign="right" w:y="1"/>
      <w:rPr>
        <w:rStyle w:val="PageNumber"/>
      </w:rPr>
    </w:pPr>
    <w:r>
      <w:rPr>
        <w:rStyle w:val="PageNumber"/>
      </w:rPr>
      <w:fldChar w:fldCharType="begin"/>
    </w:r>
    <w:r w:rsidR="00EE2B7C">
      <w:rPr>
        <w:rStyle w:val="PageNumber"/>
      </w:rPr>
      <w:instrText xml:space="preserve">PAGE  </w:instrText>
    </w:r>
    <w:r>
      <w:rPr>
        <w:rStyle w:val="PageNumber"/>
      </w:rPr>
      <w:fldChar w:fldCharType="separate"/>
    </w:r>
    <w:r w:rsidR="00883F00">
      <w:rPr>
        <w:rStyle w:val="PageNumber"/>
        <w:noProof/>
      </w:rPr>
      <w:t>4</w:t>
    </w:r>
    <w:r>
      <w:rPr>
        <w:rStyle w:val="PageNumber"/>
      </w:rPr>
      <w:fldChar w:fldCharType="end"/>
    </w:r>
  </w:p>
  <w:p w:rsidR="00EE2B7C" w:rsidRDefault="00EE2B7C"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A76" w:rsidRDefault="00C90A76">
      <w:r>
        <w:separator/>
      </w:r>
    </w:p>
  </w:footnote>
  <w:footnote w:type="continuationSeparator" w:id="1">
    <w:p w:rsidR="00C90A76" w:rsidRDefault="00C90A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19D2"/>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47854"/>
    <w:rsid w:val="001539DF"/>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087"/>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22A4"/>
    <w:rsid w:val="00274303"/>
    <w:rsid w:val="00286372"/>
    <w:rsid w:val="00296639"/>
    <w:rsid w:val="002A0231"/>
    <w:rsid w:val="002A32BB"/>
    <w:rsid w:val="002A4E7A"/>
    <w:rsid w:val="002A7256"/>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61B1"/>
    <w:rsid w:val="00375708"/>
    <w:rsid w:val="00380081"/>
    <w:rsid w:val="00393F28"/>
    <w:rsid w:val="003944F4"/>
    <w:rsid w:val="003A0982"/>
    <w:rsid w:val="003A4384"/>
    <w:rsid w:val="003A5C01"/>
    <w:rsid w:val="003B049B"/>
    <w:rsid w:val="003B08DC"/>
    <w:rsid w:val="003B3629"/>
    <w:rsid w:val="003B475D"/>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29BD"/>
    <w:rsid w:val="00423E9F"/>
    <w:rsid w:val="00424C20"/>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48B6"/>
    <w:rsid w:val="00556545"/>
    <w:rsid w:val="00573609"/>
    <w:rsid w:val="005800D3"/>
    <w:rsid w:val="005829E8"/>
    <w:rsid w:val="00586D46"/>
    <w:rsid w:val="00595058"/>
    <w:rsid w:val="00596CD6"/>
    <w:rsid w:val="005A0DED"/>
    <w:rsid w:val="005A64EB"/>
    <w:rsid w:val="005B0A88"/>
    <w:rsid w:val="005C0492"/>
    <w:rsid w:val="005C4599"/>
    <w:rsid w:val="005C625C"/>
    <w:rsid w:val="005D4112"/>
    <w:rsid w:val="005D5729"/>
    <w:rsid w:val="005E2204"/>
    <w:rsid w:val="005E58B9"/>
    <w:rsid w:val="005E757F"/>
    <w:rsid w:val="00601A5F"/>
    <w:rsid w:val="006046DD"/>
    <w:rsid w:val="00606C5E"/>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77AE1"/>
    <w:rsid w:val="00683B00"/>
    <w:rsid w:val="00684565"/>
    <w:rsid w:val="00685E56"/>
    <w:rsid w:val="00691421"/>
    <w:rsid w:val="0069313B"/>
    <w:rsid w:val="006945A6"/>
    <w:rsid w:val="006970D1"/>
    <w:rsid w:val="0069745D"/>
    <w:rsid w:val="006B2A4D"/>
    <w:rsid w:val="006B2AD4"/>
    <w:rsid w:val="006B31E4"/>
    <w:rsid w:val="006C0876"/>
    <w:rsid w:val="006C56DB"/>
    <w:rsid w:val="006D09ED"/>
    <w:rsid w:val="006D51A2"/>
    <w:rsid w:val="006E2151"/>
    <w:rsid w:val="006E2FCB"/>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1B3F"/>
    <w:rsid w:val="0082733E"/>
    <w:rsid w:val="00831654"/>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3F00"/>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34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B1F9B"/>
    <w:rsid w:val="009B5BFF"/>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690E"/>
    <w:rsid w:val="00AD2685"/>
    <w:rsid w:val="00AD354F"/>
    <w:rsid w:val="00AD4F55"/>
    <w:rsid w:val="00AE4631"/>
    <w:rsid w:val="00AE4B65"/>
    <w:rsid w:val="00AF0E51"/>
    <w:rsid w:val="00B05AA0"/>
    <w:rsid w:val="00B07E0E"/>
    <w:rsid w:val="00B12EDD"/>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5356"/>
    <w:rsid w:val="00C0627A"/>
    <w:rsid w:val="00C10FCA"/>
    <w:rsid w:val="00C120ED"/>
    <w:rsid w:val="00C124E2"/>
    <w:rsid w:val="00C155CF"/>
    <w:rsid w:val="00C16D24"/>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0A76"/>
    <w:rsid w:val="00C921C4"/>
    <w:rsid w:val="00C94942"/>
    <w:rsid w:val="00C97F66"/>
    <w:rsid w:val="00CA1C55"/>
    <w:rsid w:val="00CA203E"/>
    <w:rsid w:val="00CA3E11"/>
    <w:rsid w:val="00CA69AC"/>
    <w:rsid w:val="00CC3CED"/>
    <w:rsid w:val="00CC408F"/>
    <w:rsid w:val="00CC5CCF"/>
    <w:rsid w:val="00CC6ACD"/>
    <w:rsid w:val="00CD4FB9"/>
    <w:rsid w:val="00CE4BA3"/>
    <w:rsid w:val="00CE5E46"/>
    <w:rsid w:val="00CF246C"/>
    <w:rsid w:val="00CF273C"/>
    <w:rsid w:val="00CF2886"/>
    <w:rsid w:val="00CF28F1"/>
    <w:rsid w:val="00D12A6B"/>
    <w:rsid w:val="00D16E49"/>
    <w:rsid w:val="00D17219"/>
    <w:rsid w:val="00D17BBB"/>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24A"/>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3960"/>
    <w:rsid w:val="00EB39D6"/>
    <w:rsid w:val="00EB39EF"/>
    <w:rsid w:val="00EB547A"/>
    <w:rsid w:val="00EB747F"/>
    <w:rsid w:val="00EC392F"/>
    <w:rsid w:val="00ED215F"/>
    <w:rsid w:val="00ED35CD"/>
    <w:rsid w:val="00EE0752"/>
    <w:rsid w:val="00EE25F9"/>
    <w:rsid w:val="00EE2968"/>
    <w:rsid w:val="00EE2B7C"/>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651FE"/>
    <w:rsid w:val="00F66A3B"/>
    <w:rsid w:val="00F72393"/>
    <w:rsid w:val="00F8229A"/>
    <w:rsid w:val="00F86180"/>
    <w:rsid w:val="00F87C2E"/>
    <w:rsid w:val="00F94DBA"/>
    <w:rsid w:val="00F9670C"/>
    <w:rsid w:val="00FA57C9"/>
    <w:rsid w:val="00FB0D72"/>
    <w:rsid w:val="00FB56EF"/>
    <w:rsid w:val="00FC4177"/>
    <w:rsid w:val="00FD0E04"/>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235171040">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099719843">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41460889">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50771850">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F5564-96AE-441A-84FF-87530DFB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11</cp:revision>
  <cp:lastPrinted>2025-10-06T11:42:00Z</cp:lastPrinted>
  <dcterms:created xsi:type="dcterms:W3CDTF">2025-10-01T09:05:00Z</dcterms:created>
  <dcterms:modified xsi:type="dcterms:W3CDTF">2025-10-08T06:29:00Z</dcterms:modified>
</cp:coreProperties>
</file>