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49D4D" w14:textId="3333C59C" w:rsidR="00D2041D" w:rsidRPr="00C06F15" w:rsidRDefault="00D2041D" w:rsidP="00D2041D">
      <w:pPr>
        <w:jc w:val="center"/>
        <w:rPr>
          <w:rFonts w:ascii="Calibri Light" w:hAnsi="Calibri Light" w:cs="Calibri Light"/>
          <w:b/>
          <w:bCs/>
          <w:lang w:val="sq-AL"/>
        </w:rPr>
      </w:pPr>
      <w:r w:rsidRPr="00C06F15">
        <w:rPr>
          <w:rFonts w:ascii="StobiSerif Regular" w:hAnsi="StobiSerif Regular" w:cs="Calibri"/>
          <w:noProof/>
          <w:color w:val="000000"/>
          <w:lang w:val="sq-AL" w:eastAsia="sq-AL"/>
        </w:rPr>
        <w:drawing>
          <wp:inline distT="0" distB="0" distL="0" distR="0" wp14:anchorId="33D940DE" wp14:editId="5655C357">
            <wp:extent cx="335280" cy="769620"/>
            <wp:effectExtent l="0" t="0" r="7620" b="0"/>
            <wp:docPr id="1276254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769620"/>
                    </a:xfrm>
                    <a:prstGeom prst="rect">
                      <a:avLst/>
                    </a:prstGeom>
                    <a:noFill/>
                    <a:ln>
                      <a:noFill/>
                    </a:ln>
                  </pic:spPr>
                </pic:pic>
              </a:graphicData>
            </a:graphic>
          </wp:inline>
        </w:drawing>
      </w:r>
    </w:p>
    <w:p w14:paraId="5F5358A8" w14:textId="77777777" w:rsidR="00D2041D" w:rsidRPr="00C06F15" w:rsidRDefault="00D2041D" w:rsidP="00D2041D">
      <w:pPr>
        <w:jc w:val="center"/>
        <w:rPr>
          <w:rFonts w:ascii="Calibri Light" w:hAnsi="Calibri Light" w:cs="Calibri Light"/>
          <w:b/>
          <w:bCs/>
          <w:lang w:val="sq-AL"/>
        </w:rPr>
      </w:pPr>
    </w:p>
    <w:p w14:paraId="1B7CFC07" w14:textId="2BEC4524" w:rsidR="00D2041D" w:rsidRPr="00C06F15" w:rsidRDefault="0028685F" w:rsidP="0028685F">
      <w:pPr>
        <w:spacing w:after="27"/>
        <w:ind w:left="144" w:hanging="10"/>
        <w:jc w:val="center"/>
        <w:rPr>
          <w:rFonts w:ascii="StobiSerif Regular" w:hAnsi="StobiSerif Regular" w:cs="Calibri"/>
          <w:color w:val="000000"/>
          <w:lang w:val="sq-AL" w:eastAsia="mk-MK"/>
        </w:rPr>
      </w:pPr>
      <w:r w:rsidRPr="00C06F15">
        <w:rPr>
          <w:rFonts w:ascii="StobiSerif Regular" w:eastAsia="Arial" w:hAnsi="StobiSerif Regular" w:cs="Arial"/>
          <w:b/>
          <w:color w:val="000000"/>
          <w:lang w:val="sq-AL" w:eastAsia="mk-MK"/>
        </w:rPr>
        <w:t>AGJENCIA PËR MBROJTJEN E TË DREJTËS PËR QASJE TË LIRË NË INFORMACIONE ME KARAKTER PUBLIK</w:t>
      </w:r>
    </w:p>
    <w:p w14:paraId="24DD479A" w14:textId="77777777" w:rsidR="00D2041D" w:rsidRPr="00C06F15" w:rsidRDefault="00D2041D" w:rsidP="00D2041D">
      <w:pPr>
        <w:jc w:val="both"/>
        <w:rPr>
          <w:rFonts w:ascii="Calibri Light" w:hAnsi="Calibri Light" w:cs="Calibri Light"/>
          <w:b/>
          <w:bCs/>
          <w:sz w:val="8"/>
          <w:szCs w:val="8"/>
          <w:lang w:val="sq-AL"/>
        </w:rPr>
      </w:pPr>
    </w:p>
    <w:p w14:paraId="5810951E" w14:textId="77777777" w:rsidR="00D2041D" w:rsidRPr="00C06F15" w:rsidRDefault="00D2041D" w:rsidP="00901FB2">
      <w:pPr>
        <w:jc w:val="center"/>
        <w:rPr>
          <w:rFonts w:ascii="Calibri Light" w:hAnsi="Calibri Light" w:cs="Calibri Light"/>
          <w:b/>
          <w:bCs/>
          <w:lang w:val="sq-AL"/>
        </w:rPr>
      </w:pPr>
    </w:p>
    <w:p w14:paraId="178B3FF8" w14:textId="77777777" w:rsidR="0028685F" w:rsidRPr="00C06F15" w:rsidRDefault="0028685F" w:rsidP="0028685F">
      <w:pPr>
        <w:jc w:val="center"/>
        <w:rPr>
          <w:rFonts w:ascii="StobiSerif Regular" w:hAnsi="StobiSerif Regular" w:cs="Calibri Light"/>
          <w:b/>
          <w:bCs/>
          <w:sz w:val="32"/>
          <w:szCs w:val="32"/>
          <w:lang w:val="sq-AL"/>
        </w:rPr>
      </w:pPr>
      <w:bookmarkStart w:id="0" w:name="_GoBack"/>
      <w:r w:rsidRPr="00C06F15">
        <w:rPr>
          <w:rFonts w:ascii="StobiSerif Regular" w:hAnsi="StobiSerif Regular" w:cs="Calibri Light"/>
          <w:b/>
          <w:bCs/>
          <w:sz w:val="32"/>
          <w:szCs w:val="32"/>
          <w:lang w:val="sq-AL"/>
        </w:rPr>
        <w:t>RAPORT PËR DETYRIMET LIDHUR ME TRANSPARENCËN PROAKTIVE DHE AKTIVITETET E AGJENCISË</w:t>
      </w:r>
      <w:bookmarkEnd w:id="0"/>
      <w:r w:rsidRPr="00C06F15">
        <w:rPr>
          <w:rFonts w:ascii="StobiSerif Regular" w:hAnsi="StobiSerif Regular" w:cs="Calibri Light"/>
          <w:b/>
          <w:bCs/>
          <w:sz w:val="32"/>
          <w:szCs w:val="32"/>
          <w:lang w:val="sq-AL"/>
        </w:rPr>
        <w:t xml:space="preserve"> </w:t>
      </w:r>
    </w:p>
    <w:p w14:paraId="6F8B074E" w14:textId="75E2C422" w:rsidR="0028685F" w:rsidRPr="00C06F15" w:rsidRDefault="0028685F" w:rsidP="0028685F">
      <w:pPr>
        <w:jc w:val="center"/>
        <w:rPr>
          <w:rFonts w:ascii="StobiSerif Regular" w:hAnsi="StobiSerif Regular" w:cs="Calibri Light"/>
          <w:b/>
          <w:bCs/>
          <w:sz w:val="32"/>
          <w:szCs w:val="32"/>
          <w:lang w:val="sq-AL"/>
        </w:rPr>
      </w:pPr>
      <w:r w:rsidRPr="00C06F15">
        <w:rPr>
          <w:rFonts w:ascii="StobiSerif Regular" w:hAnsi="StobiSerif Regular" w:cs="Calibri Light"/>
          <w:b/>
          <w:bCs/>
          <w:sz w:val="32"/>
          <w:szCs w:val="32"/>
          <w:lang w:val="sq-AL"/>
        </w:rPr>
        <w:t>(JANAR-QERSHOR 2025)</w:t>
      </w:r>
    </w:p>
    <w:p w14:paraId="36A3BF03" w14:textId="75573BD7" w:rsidR="00D2041D" w:rsidRPr="00C06F15" w:rsidRDefault="00D2041D" w:rsidP="009D64F6">
      <w:pPr>
        <w:jc w:val="center"/>
        <w:rPr>
          <w:rFonts w:ascii="Calibri Light" w:hAnsi="Calibri Light" w:cs="Calibri Light"/>
          <w:b/>
          <w:bCs/>
          <w:lang w:val="sq-AL"/>
        </w:rPr>
      </w:pPr>
      <w:r w:rsidRPr="00C06F15">
        <w:rPr>
          <w:noProof/>
          <w:lang w:val="sq-AL" w:eastAsia="sq-AL"/>
        </w:rPr>
        <w:drawing>
          <wp:inline distT="0" distB="0" distL="0" distR="0" wp14:anchorId="309A5892" wp14:editId="7B9870FD">
            <wp:extent cx="5728970" cy="4171950"/>
            <wp:effectExtent l="0" t="0" r="5080" b="0"/>
            <wp:docPr id="801679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8309" cy="4186033"/>
                    </a:xfrm>
                    <a:prstGeom prst="rect">
                      <a:avLst/>
                    </a:prstGeom>
                    <a:noFill/>
                    <a:ln>
                      <a:noFill/>
                    </a:ln>
                  </pic:spPr>
                </pic:pic>
              </a:graphicData>
            </a:graphic>
          </wp:inline>
        </w:drawing>
      </w:r>
    </w:p>
    <w:p w14:paraId="7ADE39A4" w14:textId="77777777" w:rsidR="00FF0476" w:rsidRPr="00C06F15" w:rsidRDefault="00FF0476" w:rsidP="00D2041D">
      <w:pPr>
        <w:jc w:val="center"/>
        <w:rPr>
          <w:rFonts w:ascii="StobiSerif Regular" w:hAnsi="StobiSerif Regular" w:cs="Calibri Light"/>
          <w:b/>
          <w:bCs/>
          <w:lang w:val="sq-AL"/>
        </w:rPr>
      </w:pPr>
    </w:p>
    <w:p w14:paraId="30043B9F" w14:textId="3AD05D01" w:rsidR="00D2041D" w:rsidRPr="00C06F15" w:rsidRDefault="0028685F" w:rsidP="00D2041D">
      <w:pPr>
        <w:jc w:val="center"/>
        <w:rPr>
          <w:rFonts w:ascii="StobiSerif Regular" w:hAnsi="StobiSerif Regular" w:cs="Calibri Light"/>
          <w:b/>
          <w:bCs/>
          <w:lang w:val="sq-AL"/>
        </w:rPr>
      </w:pPr>
      <w:r w:rsidRPr="00C06F15">
        <w:rPr>
          <w:rFonts w:ascii="StobiSerif Regular" w:hAnsi="StobiSerif Regular" w:cs="Calibri Light"/>
          <w:b/>
          <w:bCs/>
          <w:lang w:val="sq-AL"/>
        </w:rPr>
        <w:t>Shkup</w:t>
      </w:r>
      <w:r w:rsidR="00D2041D" w:rsidRPr="00C06F15">
        <w:rPr>
          <w:rFonts w:ascii="StobiSerif Regular" w:hAnsi="StobiSerif Regular" w:cs="Calibri Light"/>
          <w:b/>
          <w:bCs/>
          <w:lang w:val="sq-AL"/>
        </w:rPr>
        <w:t xml:space="preserve">, </w:t>
      </w:r>
      <w:r w:rsidRPr="00C06F15">
        <w:rPr>
          <w:rFonts w:ascii="StobiSerif Regular" w:hAnsi="StobiSerif Regular" w:cs="Calibri Light"/>
          <w:b/>
          <w:bCs/>
          <w:lang w:val="sq-AL"/>
        </w:rPr>
        <w:t>gusht, viti</w:t>
      </w:r>
      <w:r w:rsidR="00D2041D" w:rsidRPr="00C06F15">
        <w:rPr>
          <w:rFonts w:ascii="StobiSerif Regular" w:hAnsi="StobiSerif Regular" w:cs="Calibri Light"/>
          <w:b/>
          <w:bCs/>
          <w:lang w:val="sq-AL"/>
        </w:rPr>
        <w:t xml:space="preserve"> 2025</w:t>
      </w:r>
    </w:p>
    <w:p w14:paraId="7B60C5D4" w14:textId="7E324615" w:rsidR="00D2041D" w:rsidRPr="00C06F15" w:rsidRDefault="0028685F" w:rsidP="00D2041D">
      <w:pPr>
        <w:jc w:val="both"/>
        <w:rPr>
          <w:rFonts w:ascii="StobiSerif Regular" w:hAnsi="StobiSerif Regular" w:cs="Calibri Light"/>
          <w:lang w:val="sq-AL"/>
        </w:rPr>
      </w:pPr>
      <w:bookmarkStart w:id="1" w:name="_Hlk109978918"/>
      <w:bookmarkStart w:id="2" w:name="_Hlk109978848"/>
      <w:r w:rsidRPr="00C06F15">
        <w:rPr>
          <w:rFonts w:ascii="StobiSerif Regular" w:hAnsi="StobiSerif Regular" w:cs="Calibri Light"/>
          <w:lang w:val="sq-AL"/>
        </w:rPr>
        <w:lastRenderedPageBreak/>
        <w:t>Qasja e lirë në informacione me karakter publik është një nga parakushtet themelore për funksionimin e përgjegjshëm dhe transparent të institucioneve. Pjesëmarrja aktive e qytetarëve në proceset politike dhe cilësia e pjesëmarrjes së tyre në krijimin e politikave publike dhe në vendimmarrje varet drejtpërdrejt nga sa mirë qytetarët janë të njohur dhe të informuar për këto procese. Këto informacione krijohen dhe janë në dispozicion të autoriteteve shtetërore dhe autoriteteve të tjera dhe organizatave të themeluara me ligj, organeve të komunave, Qytetit të Shkupit dhe komunave në Qytetin e Shkupit, institucioneve dhe shërbimeve publike, ndërmarrjeve publike, personave juridikë dhe fizikë që ushtrojnë autorizime publike të përcaktuara me ligj dhe aktivitete me interes publik dhe partive politike në fushën e të ardhurave dhe shpenzimeve. Prandaj, mundësimi i qasjes në këto informacione është një proces i domosdoshëm që çon në demokratizimin e proceseve të krijimit të politikave publike dhe marrjes së vendimeve që ndikojnë në cilësinë e jetës dhe mirëqenien e përgjithshme.</w:t>
      </w:r>
    </w:p>
    <w:bookmarkEnd w:id="1"/>
    <w:bookmarkEnd w:id="2"/>
    <w:p w14:paraId="75EFFD4B" w14:textId="7345B9E4" w:rsidR="00D2041D" w:rsidRPr="00C06F15" w:rsidRDefault="0028685F" w:rsidP="00D2041D">
      <w:pPr>
        <w:jc w:val="both"/>
        <w:rPr>
          <w:rFonts w:ascii="StobiSerif Regular" w:hAnsi="StobiSerif Regular" w:cs="Calibri Light"/>
          <w:b/>
          <w:bCs/>
          <w:lang w:val="sq-AL"/>
        </w:rPr>
      </w:pPr>
      <w:r w:rsidRPr="00C06F15">
        <w:rPr>
          <w:rFonts w:ascii="StobiSerif Regular" w:hAnsi="StobiSerif Regular" w:cs="Calibri Light"/>
          <w:lang w:val="sq-AL"/>
        </w:rPr>
        <w:t xml:space="preserve">Njohja me të dhënat relevante është me rëndësi thelbësore për të kuptuar punën e institucioneve dhe në këtë kontekst, sot nuk është e mundur të imagjinohet pjesëmarrje cilësore në proceset e vendimmarrjes politike nëse nuk ka informacion dhe depërtim në punën e institucioneve publike. </w:t>
      </w:r>
      <w:r w:rsidRPr="00C06F15">
        <w:rPr>
          <w:rFonts w:ascii="StobiSerif Regular" w:hAnsi="StobiSerif Regular" w:cs="Calibri Light"/>
          <w:b/>
          <w:lang w:val="sq-AL"/>
        </w:rPr>
        <w:t>Prandaj, informacioni është fuqia dhe oksigjeni i demokracisë!!!</w:t>
      </w:r>
    </w:p>
    <w:p w14:paraId="34619A50" w14:textId="19071FBB" w:rsidR="0028685F" w:rsidRPr="00C06F15" w:rsidRDefault="0028685F" w:rsidP="0028685F">
      <w:pPr>
        <w:jc w:val="both"/>
        <w:rPr>
          <w:rFonts w:ascii="StobiSerif Regular" w:hAnsi="StobiSerif Regular" w:cs="Calibri Light"/>
          <w:lang w:val="sq-AL"/>
        </w:rPr>
      </w:pPr>
      <w:r w:rsidRPr="00C06F15">
        <w:rPr>
          <w:rFonts w:ascii="StobiSerif Regular" w:hAnsi="StobiSerif Regular" w:cs="Calibri Light"/>
          <w:lang w:val="sq-AL"/>
        </w:rPr>
        <w:t xml:space="preserve">Ky raport i referohet kompetencave të Agjencisë për transparencë proaktive, të cilat përmbajnë të dhëna që tregojnë transparencën e </w:t>
      </w:r>
      <w:r w:rsidR="00647C65" w:rsidRPr="00C06F15">
        <w:rPr>
          <w:rFonts w:ascii="StobiSerif Regular" w:hAnsi="StobiSerif Regular" w:cs="Calibri Light"/>
          <w:lang w:val="sq-AL"/>
        </w:rPr>
        <w:t>poseduesve</w:t>
      </w:r>
      <w:r w:rsidRPr="00C06F15">
        <w:rPr>
          <w:rFonts w:ascii="StobiSerif Regular" w:hAnsi="StobiSerif Regular" w:cs="Calibri Light"/>
          <w:lang w:val="sq-AL"/>
        </w:rPr>
        <w:t>, përmes monitorimit të organeve të administratës shtetërore, njësive të vetëqeverisjes lokale dhe ndërmarrjeve publike nën juridiksionin e komunave dhe Qeverisë së Republikës së Maqedonisë</w:t>
      </w:r>
      <w:r w:rsidR="00647C65" w:rsidRPr="00C06F15">
        <w:rPr>
          <w:rFonts w:ascii="StobiSerif Regular" w:hAnsi="StobiSerif Regular" w:cs="Calibri Light"/>
          <w:lang w:val="sq-AL"/>
        </w:rPr>
        <w:t xml:space="preserve"> së Veriut</w:t>
      </w:r>
      <w:r w:rsidRPr="00C06F15">
        <w:rPr>
          <w:rFonts w:ascii="StobiSerif Regular" w:hAnsi="StobiSerif Regular" w:cs="Calibri Light"/>
          <w:lang w:val="sq-AL"/>
        </w:rPr>
        <w:t>. Raporti përmban gjithashtu aktivitete që, në përputhje me kompetencat e saj, Agjencia ka kryer në periudhën janar-qershor 2025.</w:t>
      </w:r>
    </w:p>
    <w:p w14:paraId="5D3972B0" w14:textId="5A74E273" w:rsidR="0028685F" w:rsidRPr="00C06F15" w:rsidRDefault="0028685F" w:rsidP="0028685F">
      <w:pPr>
        <w:jc w:val="both"/>
        <w:rPr>
          <w:rFonts w:ascii="StobiSerif Regular" w:hAnsi="StobiSerif Regular" w:cs="Calibri Light"/>
          <w:lang w:val="sq-AL"/>
        </w:rPr>
      </w:pPr>
      <w:r w:rsidRPr="00C06F15">
        <w:rPr>
          <w:rFonts w:ascii="StobiSerif Regular" w:hAnsi="StobiSerif Regular" w:cs="Calibri Light"/>
          <w:lang w:val="sq-AL"/>
        </w:rPr>
        <w:t xml:space="preserve">Agjencia i inkurajon </w:t>
      </w:r>
      <w:r w:rsidR="00647C65" w:rsidRPr="00C06F15">
        <w:rPr>
          <w:rFonts w:ascii="StobiSerif Regular" w:hAnsi="StobiSerif Regular" w:cs="Calibri Light"/>
          <w:lang w:val="sq-AL"/>
        </w:rPr>
        <w:t>poseduesit</w:t>
      </w:r>
      <w:r w:rsidRPr="00C06F15">
        <w:rPr>
          <w:rFonts w:ascii="StobiSerif Regular" w:hAnsi="StobiSerif Regular" w:cs="Calibri Light"/>
          <w:lang w:val="sq-AL"/>
        </w:rPr>
        <w:t xml:space="preserve"> të publikojnë informacione </w:t>
      </w:r>
      <w:r w:rsidR="00647C65" w:rsidRPr="00C06F15">
        <w:rPr>
          <w:rFonts w:ascii="StobiSerif Regular" w:hAnsi="StobiSerif Regular" w:cs="Calibri Light"/>
          <w:lang w:val="sq-AL"/>
        </w:rPr>
        <w:t>me karakter publik</w:t>
      </w:r>
      <w:r w:rsidRPr="00C06F15">
        <w:rPr>
          <w:rFonts w:ascii="StobiSerif Regular" w:hAnsi="StobiSerif Regular" w:cs="Calibri Light"/>
          <w:lang w:val="sq-AL"/>
        </w:rPr>
        <w:t xml:space="preserve"> në mënyrë proaktive, duke siguruar kështu që informacionet kyçe u vihen në dispozicion qytetarëve në kohën e duhur. Publikimi proaktiv i informacionit publik, si një detyrim ligjor për </w:t>
      </w:r>
      <w:r w:rsidR="00647C65" w:rsidRPr="00C06F15">
        <w:rPr>
          <w:rFonts w:ascii="StobiSerif Regular" w:hAnsi="StobiSerif Regular" w:cs="Calibri Light"/>
          <w:lang w:val="sq-AL"/>
        </w:rPr>
        <w:t>poseduesit</w:t>
      </w:r>
      <w:r w:rsidRPr="00C06F15">
        <w:rPr>
          <w:rFonts w:ascii="StobiSerif Regular" w:hAnsi="StobiSerif Regular" w:cs="Calibri Light"/>
          <w:lang w:val="sq-AL"/>
        </w:rPr>
        <w:t xml:space="preserve">, rrjedh nga Neni 10 i Ligjit për </w:t>
      </w:r>
      <w:r w:rsidR="00647C65" w:rsidRPr="00C06F15">
        <w:rPr>
          <w:rFonts w:ascii="StobiSerif Regular" w:hAnsi="StobiSerif Regular" w:cs="Calibri Light"/>
          <w:lang w:val="sq-AL"/>
        </w:rPr>
        <w:t>QLIKP</w:t>
      </w:r>
      <w:r w:rsidRPr="00C06F15">
        <w:rPr>
          <w:rFonts w:ascii="StobiSerif Regular" w:hAnsi="StobiSerif Regular" w:cs="Calibri Light"/>
          <w:lang w:val="sq-AL"/>
        </w:rPr>
        <w:t xml:space="preserve">, i cili liston 22 kategori informacionesh që </w:t>
      </w:r>
      <w:r w:rsidR="00647C65" w:rsidRPr="00C06F15">
        <w:rPr>
          <w:rFonts w:ascii="StobiSerif Regular" w:hAnsi="StobiSerif Regular" w:cs="Calibri Light"/>
          <w:lang w:val="sq-AL"/>
        </w:rPr>
        <w:t>poseduesit</w:t>
      </w:r>
      <w:r w:rsidRPr="00C06F15">
        <w:rPr>
          <w:rFonts w:ascii="StobiSerif Regular" w:hAnsi="StobiSerif Regular" w:cs="Calibri Light"/>
          <w:lang w:val="sq-AL"/>
        </w:rPr>
        <w:t xml:space="preserve"> janë të detyruar të publikojnë në faqet e tyre të internetit. Informacioni i publikuar i ndihmon qytetarët të kuptojnë më mirë funksionimin e institucioneve, të drejtat dhe detyrimet e tyre, mënyrën se si mund të ndikojnë në vendimmarrjen që reflektohet në jetën dhe punën e tyre të përditshme, si dhe të kenë më lehtë qasje në shërbimet e ofruara nga shteti. Transparenca dhe qasja në informacione </w:t>
      </w:r>
      <w:r w:rsidR="00647C65" w:rsidRPr="00C06F15">
        <w:rPr>
          <w:rFonts w:ascii="StobiSerif Regular" w:hAnsi="StobiSerif Regular" w:cs="Calibri Light"/>
          <w:lang w:val="sq-AL"/>
        </w:rPr>
        <w:t>me karakter publik</w:t>
      </w:r>
      <w:r w:rsidRPr="00C06F15">
        <w:rPr>
          <w:rFonts w:ascii="StobiSerif Regular" w:hAnsi="StobiSerif Regular" w:cs="Calibri Light"/>
          <w:lang w:val="sq-AL"/>
        </w:rPr>
        <w:t xml:space="preserve"> janë instrumente të pandashme në luftën kundër korrupsionit. </w:t>
      </w:r>
    </w:p>
    <w:p w14:paraId="0EA84FAE" w14:textId="4205C689" w:rsidR="000144A3" w:rsidRPr="00C06F15" w:rsidRDefault="0028685F" w:rsidP="0028685F">
      <w:pPr>
        <w:jc w:val="both"/>
        <w:rPr>
          <w:color w:val="1F3864" w:themeColor="accent1" w:themeShade="80"/>
          <w:lang w:val="sq-AL"/>
        </w:rPr>
      </w:pPr>
      <w:r w:rsidRPr="00C06F15">
        <w:rPr>
          <w:rFonts w:ascii="StobiSerif Regular" w:hAnsi="StobiSerif Regular" w:cs="Calibri Light"/>
          <w:lang w:val="sq-AL"/>
        </w:rPr>
        <w:t>Në këtë raport, Agjencia paraqet transparencën dhe llogaridhënien e institucioneve të sektorit publik, përmes monitorimit të kryer në faqet e tyre të internetit, mbi masën në të cilën ato publikojnë informacionin e detyrueshëm në përputhje me Ligjin për Qasje të Lirë në Informacion</w:t>
      </w:r>
      <w:r w:rsidR="00647C65" w:rsidRPr="00C06F15">
        <w:rPr>
          <w:rFonts w:ascii="StobiSerif Regular" w:hAnsi="StobiSerif Regular" w:cs="Calibri Light"/>
          <w:lang w:val="sq-AL"/>
        </w:rPr>
        <w:t>e me Karakter</w:t>
      </w:r>
      <w:r w:rsidRPr="00C06F15">
        <w:rPr>
          <w:rFonts w:ascii="StobiSerif Regular" w:hAnsi="StobiSerif Regular" w:cs="Calibri Light"/>
          <w:lang w:val="sq-AL"/>
        </w:rPr>
        <w:t xml:space="preserve"> Publik.</w:t>
      </w:r>
    </w:p>
    <w:p w14:paraId="6A056D65" w14:textId="643954EF" w:rsidR="000144A3" w:rsidRPr="00C06F15" w:rsidRDefault="0047740F" w:rsidP="000144A3">
      <w:pPr>
        <w:jc w:val="both"/>
        <w:rPr>
          <w:rFonts w:ascii="StobiSerif Regular" w:hAnsi="StobiSerif Regular"/>
          <w:lang w:val="sq-AL"/>
        </w:rPr>
      </w:pPr>
      <w:r w:rsidRPr="00C06F15">
        <w:rPr>
          <w:rFonts w:ascii="StobiSerif Regular" w:hAnsi="StobiSerif Regular"/>
          <w:lang w:val="sq-AL"/>
        </w:rPr>
        <w:t xml:space="preserve">Monitorimi u krye në </w:t>
      </w:r>
      <w:r w:rsidRPr="00C06F15">
        <w:rPr>
          <w:rFonts w:ascii="StobiSerif Regular" w:hAnsi="StobiSerif Regular"/>
          <w:b/>
          <w:lang w:val="sq-AL"/>
        </w:rPr>
        <w:t>3</w:t>
      </w:r>
      <w:r w:rsidRPr="00C06F15">
        <w:rPr>
          <w:rFonts w:ascii="StobiSerif Regular" w:hAnsi="StobiSerif Regular"/>
          <w:lang w:val="sq-AL"/>
        </w:rPr>
        <w:t xml:space="preserve"> kategori </w:t>
      </w:r>
      <w:r w:rsidR="007B5074" w:rsidRPr="00C06F15">
        <w:rPr>
          <w:rFonts w:ascii="StobiSerif Regular" w:hAnsi="StobiSerif Regular"/>
          <w:lang w:val="sq-AL"/>
        </w:rPr>
        <w:t>poseduesish</w:t>
      </w:r>
      <w:r w:rsidRPr="00C06F15">
        <w:rPr>
          <w:rFonts w:ascii="StobiSerif Regular" w:hAnsi="StobiSerif Regular"/>
          <w:lang w:val="sq-AL"/>
        </w:rPr>
        <w:t xml:space="preserve">, pra </w:t>
      </w:r>
      <w:r w:rsidRPr="00C06F15">
        <w:rPr>
          <w:rFonts w:ascii="StobiSerif Regular" w:hAnsi="StobiSerif Regular"/>
          <w:b/>
          <w:lang w:val="sq-AL"/>
        </w:rPr>
        <w:t>242</w:t>
      </w:r>
      <w:r w:rsidRPr="00C06F15">
        <w:rPr>
          <w:rFonts w:ascii="StobiSerif Regular" w:hAnsi="StobiSerif Regular"/>
          <w:lang w:val="sq-AL"/>
        </w:rPr>
        <w:t xml:space="preserve"> institucione, në përputhje me Metodologjinë për kryerjen e monitorimit për publikimin proaktiv të informacionit publik, dhe </w:t>
      </w:r>
      <w:r w:rsidR="007B5074" w:rsidRPr="00C06F15">
        <w:rPr>
          <w:rFonts w:ascii="StobiSerif Regular" w:hAnsi="StobiSerif Regular"/>
          <w:lang w:val="sq-AL"/>
        </w:rPr>
        <w:t>poseduesve</w:t>
      </w:r>
      <w:r w:rsidRPr="00C06F15">
        <w:rPr>
          <w:rFonts w:ascii="StobiSerif Regular" w:hAnsi="StobiSerif Regular"/>
          <w:lang w:val="sq-AL"/>
        </w:rPr>
        <w:t xml:space="preserve"> iu dorëzuan pyetësorë, të cilët u përshtatën sipas kompetencave të </w:t>
      </w:r>
      <w:r w:rsidR="007B5074" w:rsidRPr="00C06F15">
        <w:rPr>
          <w:rFonts w:ascii="StobiSerif Regular" w:hAnsi="StobiSerif Regular"/>
          <w:lang w:val="sq-AL"/>
        </w:rPr>
        <w:t>poseduesve</w:t>
      </w:r>
      <w:r w:rsidRPr="00C06F15">
        <w:rPr>
          <w:rFonts w:ascii="StobiSerif Regular" w:hAnsi="StobiSerif Regular"/>
          <w:lang w:val="sq-AL"/>
        </w:rPr>
        <w:t xml:space="preserve"> të monitoruar. Qëllimi i pyetësorëve është të vlerësojë, përmes vetëvlerësimit të </w:t>
      </w:r>
      <w:r w:rsidR="007B5074" w:rsidRPr="00C06F15">
        <w:rPr>
          <w:rFonts w:ascii="StobiSerif Regular" w:hAnsi="StobiSerif Regular"/>
          <w:lang w:val="sq-AL"/>
        </w:rPr>
        <w:t>poseduesve</w:t>
      </w:r>
      <w:r w:rsidRPr="00C06F15">
        <w:rPr>
          <w:rFonts w:ascii="StobiSerif Regular" w:hAnsi="StobiSerif Regular"/>
          <w:lang w:val="sq-AL"/>
        </w:rPr>
        <w:t xml:space="preserve">, se në çfarë mase </w:t>
      </w:r>
      <w:r w:rsidR="007B5074" w:rsidRPr="00C06F15">
        <w:rPr>
          <w:rFonts w:ascii="StobiSerif Regular" w:hAnsi="StobiSerif Regular"/>
          <w:lang w:val="sq-AL"/>
        </w:rPr>
        <w:t>poseduesit</w:t>
      </w:r>
      <w:r w:rsidRPr="00C06F15">
        <w:rPr>
          <w:rFonts w:ascii="StobiSerif Regular" w:hAnsi="StobiSerif Regular"/>
          <w:lang w:val="sq-AL"/>
        </w:rPr>
        <w:t xml:space="preserve"> </w:t>
      </w:r>
      <w:r w:rsidRPr="00C06F15">
        <w:rPr>
          <w:rFonts w:ascii="StobiSerif Regular" w:hAnsi="StobiSerif Regular"/>
          <w:lang w:val="sq-AL"/>
        </w:rPr>
        <w:lastRenderedPageBreak/>
        <w:t xml:space="preserve">praktikojnë transparencën proaktive dhe detyrimet ligjore në përputhje me nenin 10 të Ligjit për </w:t>
      </w:r>
      <w:r w:rsidR="007B5074" w:rsidRPr="00C06F15">
        <w:rPr>
          <w:rFonts w:ascii="StobiSerif Regular" w:hAnsi="StobiSerif Regular"/>
          <w:lang w:val="sq-AL"/>
        </w:rPr>
        <w:t>QLIKP</w:t>
      </w:r>
      <w:r w:rsidRPr="00C06F15">
        <w:rPr>
          <w:rFonts w:ascii="StobiSerif Regular" w:hAnsi="StobiSerif Regular"/>
          <w:lang w:val="sq-AL"/>
        </w:rPr>
        <w:t>.</w:t>
      </w:r>
    </w:p>
    <w:p w14:paraId="3BD03C96" w14:textId="118E51C5" w:rsidR="007B5074" w:rsidRPr="00C06F15" w:rsidRDefault="007B5074" w:rsidP="007B5074">
      <w:pPr>
        <w:jc w:val="both"/>
        <w:rPr>
          <w:rFonts w:ascii="StobiSerif Regular" w:hAnsi="StobiSerif Regular"/>
          <w:lang w:val="sq-AL"/>
        </w:rPr>
      </w:pPr>
      <w:r w:rsidRPr="00C06F15">
        <w:rPr>
          <w:rFonts w:ascii="StobiSerif Regular" w:hAnsi="StobiSerif Regular"/>
          <w:lang w:val="sq-AL"/>
        </w:rPr>
        <w:t>Kategoritë e poseduesve që u përfshinë nga monitorimi ishin: Komunat dhe qendrat për zhvillimin e rajoneve planifikuese, Ndërmarrjet publike dhe shoqëritë aksionare nën juridiksionin e komunave dhe Qeverisë së RMV, Qeverisë, ministrive dhe organeve përbërëse, në përputhje me Strategjinë e Transparencës (2023-2026).</w:t>
      </w:r>
    </w:p>
    <w:p w14:paraId="3EB12188" w14:textId="26BEDAFA" w:rsidR="007B5074" w:rsidRPr="00C06F15" w:rsidRDefault="007B5074" w:rsidP="007B5074">
      <w:pPr>
        <w:jc w:val="both"/>
        <w:rPr>
          <w:rFonts w:ascii="StobiSerif Regular" w:hAnsi="StobiSerif Regular"/>
          <w:lang w:val="sq-AL"/>
        </w:rPr>
      </w:pPr>
      <w:r w:rsidRPr="00C06F15">
        <w:rPr>
          <w:rFonts w:ascii="StobiSerif Regular" w:hAnsi="StobiSerif Regular"/>
          <w:lang w:val="sq-AL"/>
        </w:rPr>
        <w:t>Transparenca proaktive nënkupton publikimin në kohë të informacioneve  me karakter publik nga institucionet që e bëjnë këtë me iniciativën e tyre, përpara se të kërkohen me gojë, me shkrim ose elektronikisht, përmes faqeve të internetit të qarta, transparente dhe lehtësisht të arritshme që përmbajnë të gjitha informacionet me rëndësi për qytetarët. Publikimi i tillë proaktiv i informacionit kontribuon në forcimin e ligjit dhe i lejon publikut të njihet me rregulloret, vendimet, hartimin e politikave dhe veprimet e tjera që janë në interes të tyre dhe që i prekin ata në kohën e duhur.</w:t>
      </w:r>
    </w:p>
    <w:p w14:paraId="2C602C7C" w14:textId="3177B08A" w:rsidR="007B5074" w:rsidRPr="00C06F15" w:rsidRDefault="007B5074" w:rsidP="007B5074">
      <w:pPr>
        <w:jc w:val="both"/>
        <w:rPr>
          <w:rFonts w:ascii="StobiSerif Regular" w:hAnsi="StobiSerif Regular"/>
          <w:lang w:val="sq-AL"/>
        </w:rPr>
      </w:pPr>
      <w:r w:rsidRPr="00C06F15">
        <w:rPr>
          <w:rFonts w:ascii="StobiSerif Regular" w:hAnsi="StobiSerif Regular"/>
          <w:lang w:val="sq-AL"/>
        </w:rPr>
        <w:t>Monitorimi përqendrohet në kontrollin e kategorive të informacionit që duhet të azhurnohen rregullisht dhe të publikohen në faqet e internetit të poseduesve të informacioneve me karakter publik në përputhje me dispozitat e nenit 9 dhe nenit 10 të Ligjit për Qasje të Lirë në Informacione me Karakter Publik (LQLIKP). Duhet të sqarohet se me monitorimin, Agjencia nuk analizon përmbajtjen, pra cilësinë e informacionit të publikuar.</w:t>
      </w:r>
    </w:p>
    <w:p w14:paraId="00974EDE" w14:textId="5944484A" w:rsidR="007B5074" w:rsidRPr="00C06F15" w:rsidRDefault="007B5074" w:rsidP="007B5074">
      <w:pPr>
        <w:jc w:val="both"/>
        <w:rPr>
          <w:rFonts w:ascii="StobiSerif Regular" w:hAnsi="StobiSerif Regular"/>
          <w:lang w:val="sq-AL"/>
        </w:rPr>
      </w:pPr>
      <w:r w:rsidRPr="00C06F15">
        <w:rPr>
          <w:rFonts w:ascii="StobiSerif Regular" w:hAnsi="StobiSerif Regular"/>
          <w:lang w:val="sq-AL"/>
        </w:rPr>
        <w:t>Duhet theksuar gjithashtu se faqet e internetit të poseduesve përditësohen në përputhje me aktivitetet e tyre dhe kanë funksionin e tyre si informatori i parë për qytetarët dhe shërbimet që ofrojnë.</w:t>
      </w:r>
    </w:p>
    <w:p w14:paraId="358688F9" w14:textId="27C3E3F4" w:rsidR="000144A3" w:rsidRPr="00C06F15" w:rsidRDefault="007B5074" w:rsidP="007B5074">
      <w:pPr>
        <w:jc w:val="both"/>
        <w:rPr>
          <w:rFonts w:ascii="StobiSerif Regular" w:hAnsi="StobiSerif Regular"/>
          <w:lang w:val="sq-AL"/>
        </w:rPr>
      </w:pPr>
      <w:r w:rsidRPr="00C06F15">
        <w:rPr>
          <w:rFonts w:ascii="StobiSerif Regular" w:hAnsi="StobiSerif Regular"/>
          <w:lang w:val="sq-AL"/>
        </w:rPr>
        <w:t>Agjencia, në Pyetësor, përfshiu edhe pyetjet në të cilat poseduesit duhej të zhvendosnin lidhjen nga faqja e internetit në të cilën kishin publikuar informacionin dhe përqendrohet në tre pyetjet më të rëndësishme (më të rëndësishme):</w:t>
      </w:r>
    </w:p>
    <w:p w14:paraId="081AD495" w14:textId="78E263EB" w:rsidR="00F42C6C" w:rsidRPr="00C06F15" w:rsidRDefault="00F42C6C" w:rsidP="00F42C6C">
      <w:pPr>
        <w:ind w:left="567" w:firstLine="851"/>
        <w:jc w:val="both"/>
        <w:rPr>
          <w:rFonts w:ascii="StobiSerif Regular" w:hAnsi="StobiSerif Regular"/>
          <w:lang w:val="sq-AL"/>
        </w:rPr>
      </w:pPr>
      <w:r w:rsidRPr="00C06F15">
        <w:rPr>
          <w:rFonts w:ascii="StobiSerif Regular" w:hAnsi="StobiSerif Regular"/>
          <w:lang w:val="sq-AL"/>
        </w:rPr>
        <w:t>1. A i keni publikuar në faqen tuaj të internetit informacionin e detyrueshëm nga Neni 10 i Ligjit për Qasje të Lirë në Informacione me Karakter Publik duke vendosur një baner në një vend të dukshëm dhe duke çuar në informacionin publik?</w:t>
      </w:r>
    </w:p>
    <w:p w14:paraId="0025FA60" w14:textId="0F41DF15" w:rsidR="00F42C6C" w:rsidRPr="00C06F15" w:rsidRDefault="00F42C6C" w:rsidP="00F42C6C">
      <w:pPr>
        <w:ind w:left="567" w:firstLine="851"/>
        <w:jc w:val="both"/>
        <w:rPr>
          <w:rFonts w:ascii="StobiSerif Regular" w:hAnsi="StobiSerif Regular"/>
          <w:lang w:val="sq-AL"/>
        </w:rPr>
      </w:pPr>
      <w:r w:rsidRPr="00C06F15">
        <w:rPr>
          <w:rFonts w:ascii="StobiSerif Regular" w:hAnsi="StobiSerif Regular"/>
          <w:lang w:val="sq-AL"/>
        </w:rPr>
        <w:t>2. A i keni publikuar në faqen tuaj të internetit kërkesat anonime për qasje në informacione me karakter publik për vitin 2023 dhe 2024, së bashku me përgjigjet që i keni dorëzuar tashmë kërkuesit, në mënyrë që ato të mund të ripërdoren nga individë dhe persona të tjerë juridikë pa riparaqitur një kërkesë me të njëjtën përmbajtje?</w:t>
      </w:r>
    </w:p>
    <w:p w14:paraId="50A78C58" w14:textId="125FAE65" w:rsidR="000144A3" w:rsidRPr="00C06F15" w:rsidRDefault="00F42C6C" w:rsidP="00F42C6C">
      <w:pPr>
        <w:ind w:left="567" w:firstLine="851"/>
        <w:jc w:val="both"/>
        <w:rPr>
          <w:rFonts w:ascii="StobiSerif Regular" w:hAnsi="StobiSerif Regular"/>
          <w:lang w:val="sq-AL"/>
        </w:rPr>
      </w:pPr>
      <w:r w:rsidRPr="00C06F15">
        <w:rPr>
          <w:rFonts w:ascii="StobiSerif Regular" w:hAnsi="StobiSerif Regular"/>
          <w:lang w:val="sq-AL"/>
        </w:rPr>
        <w:t xml:space="preserve">3. A e keni publikuar informacionin me karakter publik të sistematizuar sipas fushave, në përputhje me Nenin 10, paragrafi 1, pika 22 - "informacione të tjera që rrjedhin nga kompetenca dhe puna e </w:t>
      </w:r>
      <w:r w:rsidR="00D52F2F">
        <w:rPr>
          <w:rFonts w:ascii="StobiSerif Regular" w:hAnsi="StobiSerif Regular"/>
          <w:lang w:val="sq-AL"/>
        </w:rPr>
        <w:t>poseduesit</w:t>
      </w:r>
      <w:r w:rsidRPr="00C06F15">
        <w:rPr>
          <w:rFonts w:ascii="StobiSerif Regular" w:hAnsi="StobiSerif Regular"/>
          <w:lang w:val="sq-AL"/>
        </w:rPr>
        <w:t xml:space="preserve"> të informacionit" të Ligjit për Qasje të Lirë në Informacione me Karakter Publik, siç thuhet në Udhëzimet për Përmirësimin e Transparencës së Institucioneve të Sektorit Publik?</w:t>
      </w:r>
    </w:p>
    <w:p w14:paraId="7196D3ED" w14:textId="729CC9A0" w:rsidR="000144A3" w:rsidRPr="00C06F15" w:rsidRDefault="00F42C6C" w:rsidP="00B81F16">
      <w:pPr>
        <w:jc w:val="both"/>
        <w:rPr>
          <w:rFonts w:ascii="StobiSerif Regular" w:hAnsi="StobiSerif Regular"/>
          <w:lang w:val="sq-AL"/>
        </w:rPr>
      </w:pPr>
      <w:r w:rsidRPr="00C06F15">
        <w:rPr>
          <w:rFonts w:ascii="StobiSerif Regular" w:hAnsi="StobiSerif Regular"/>
          <w:lang w:val="sq-AL"/>
        </w:rPr>
        <w:lastRenderedPageBreak/>
        <w:t xml:space="preserve">Secilit prej poseduesve të monitoruar iu dhanë afate brenda të cilave duhej të dorëzonte përgjigje në pyetësorët e vetëvlerësimit, pra t'i plotësonte ato me të dhënat e nevojshme. Brenda afateve të dhëna, 123 posedues, ose 51% e 242 poseduesve të cilëve iu dorëzua, dorëzuan pyetësorë të plotësuar, dhe për këta </w:t>
      </w:r>
      <w:r w:rsidR="00D52F2F">
        <w:rPr>
          <w:rFonts w:ascii="StobiSerif Regular" w:hAnsi="StobiSerif Regular"/>
          <w:lang w:val="sq-AL"/>
        </w:rPr>
        <w:t>posedues</w:t>
      </w:r>
      <w:r w:rsidRPr="00C06F15">
        <w:rPr>
          <w:rFonts w:ascii="StobiSerif Regular" w:hAnsi="StobiSerif Regular"/>
          <w:lang w:val="sq-AL"/>
        </w:rPr>
        <w:t xml:space="preserve"> mund të përcaktohet se sa është përmirësuar transparenca dhe llogaridhënia e tyre, përmes vetëvlerësimit të kryer.</w:t>
      </w:r>
    </w:p>
    <w:p w14:paraId="4FAB3A59" w14:textId="77777777" w:rsidR="00B81F16" w:rsidRPr="00C06F15" w:rsidRDefault="00B81F16" w:rsidP="00B81F16">
      <w:pPr>
        <w:jc w:val="both"/>
        <w:rPr>
          <w:rFonts w:ascii="StobiSerif Regular" w:hAnsi="StobiSerif Regular"/>
          <w:lang w:val="sq-AL"/>
        </w:rPr>
      </w:pPr>
    </w:p>
    <w:p w14:paraId="6D1D8BE0" w14:textId="396EDAAD" w:rsidR="006A0A87" w:rsidRPr="00C06F15" w:rsidRDefault="006A0A87" w:rsidP="006A0A87">
      <w:pPr>
        <w:pStyle w:val="ListParagraph"/>
        <w:numPr>
          <w:ilvl w:val="0"/>
          <w:numId w:val="1"/>
        </w:numPr>
        <w:jc w:val="both"/>
        <w:rPr>
          <w:rFonts w:ascii="StobiSerif Regular" w:hAnsi="StobiSerif Regular"/>
          <w:bCs/>
          <w:color w:val="000000" w:themeColor="text1"/>
          <w:lang w:val="sq-AL"/>
        </w:rPr>
      </w:pPr>
      <w:r w:rsidRPr="00C06F15">
        <w:rPr>
          <w:rFonts w:ascii="StobiSerif Regular" w:hAnsi="StobiSerif Regular"/>
          <w:bCs/>
          <w:color w:val="000000" w:themeColor="text1"/>
          <w:lang w:val="sq-AL"/>
        </w:rPr>
        <w:t xml:space="preserve">Sipas kategorive të </w:t>
      </w:r>
      <w:r w:rsidRPr="00C06F15">
        <w:rPr>
          <w:rFonts w:ascii="StobiSerif Regular" w:hAnsi="StobiSerif Regular"/>
          <w:bCs/>
          <w:color w:val="000000" w:themeColor="text1"/>
          <w:lang w:val="sq-AL"/>
        </w:rPr>
        <w:t>poseduesve</w:t>
      </w:r>
      <w:r w:rsidRPr="00C06F15">
        <w:rPr>
          <w:rFonts w:ascii="StobiSerif Regular" w:hAnsi="StobiSerif Regular"/>
          <w:bCs/>
          <w:color w:val="000000" w:themeColor="text1"/>
          <w:lang w:val="sq-AL"/>
        </w:rPr>
        <w:t xml:space="preserve"> të mirëmbajtura nga Agjencia në faqen e saj të internetit </w:t>
      </w:r>
      <w:hyperlink r:id="rId9" w:history="1">
        <w:r w:rsidRPr="00C06F15">
          <w:rPr>
            <w:rStyle w:val="Hyperlink"/>
            <w:rFonts w:ascii="StobiSerif Regular" w:hAnsi="StobiSerif Regular"/>
            <w:bCs/>
            <w:lang w:val="sq-AL"/>
          </w:rPr>
          <w:t>https://aspi.mk/листа-на-иматели-на-информации/</w:t>
        </w:r>
      </w:hyperlink>
      <w:r w:rsidRPr="00C06F15">
        <w:rPr>
          <w:rFonts w:ascii="StobiSerif Regular" w:hAnsi="StobiSerif Regular"/>
          <w:bCs/>
          <w:color w:val="000000" w:themeColor="text1"/>
          <w:lang w:val="sq-AL"/>
        </w:rPr>
        <w:t xml:space="preserve"> </w:t>
      </w:r>
      <w:r w:rsidRPr="00C06F15">
        <w:rPr>
          <w:rFonts w:ascii="StobiSerif Regular" w:hAnsi="StobiSerif Regular"/>
          <w:bCs/>
          <w:color w:val="000000" w:themeColor="text1"/>
          <w:lang w:val="sq-AL"/>
        </w:rPr>
        <w:t xml:space="preserve">, nga </w:t>
      </w:r>
      <w:r w:rsidRPr="00C06F15">
        <w:rPr>
          <w:rFonts w:ascii="StobiSerif Regular" w:hAnsi="StobiSerif Regular"/>
          <w:b/>
          <w:bCs/>
          <w:color w:val="000000" w:themeColor="text1"/>
          <w:lang w:val="sq-AL"/>
        </w:rPr>
        <w:t>242</w:t>
      </w:r>
      <w:r w:rsidRPr="00C06F15">
        <w:rPr>
          <w:rFonts w:ascii="StobiSerif Regular" w:hAnsi="StobiSerif Regular"/>
          <w:bCs/>
          <w:color w:val="000000" w:themeColor="text1"/>
          <w:lang w:val="sq-AL"/>
        </w:rPr>
        <w:t xml:space="preserve"> </w:t>
      </w:r>
      <w:r w:rsidRPr="00C06F15">
        <w:rPr>
          <w:rFonts w:ascii="StobiSerif Regular" w:hAnsi="StobiSerif Regular"/>
          <w:bCs/>
          <w:color w:val="000000" w:themeColor="text1"/>
          <w:lang w:val="sq-AL"/>
        </w:rPr>
        <w:t>posedues</w:t>
      </w:r>
      <w:r w:rsidRPr="00C06F15">
        <w:rPr>
          <w:rFonts w:ascii="StobiSerif Regular" w:hAnsi="StobiSerif Regular"/>
          <w:bCs/>
          <w:color w:val="000000" w:themeColor="text1"/>
          <w:lang w:val="sq-AL"/>
        </w:rPr>
        <w:t xml:space="preserve"> që u përfshinë nga monitorimi, pyetësorët e vetëvlerësimit u dorëzuan në mënyrë të rregullt dhe me kohë:</w:t>
      </w:r>
    </w:p>
    <w:p w14:paraId="218BFE5F" w14:textId="33952343" w:rsidR="006A0A87" w:rsidRPr="00C06F15" w:rsidRDefault="006A0A87" w:rsidP="006A0A87">
      <w:pPr>
        <w:pStyle w:val="ListParagraph"/>
        <w:numPr>
          <w:ilvl w:val="0"/>
          <w:numId w:val="1"/>
        </w:numPr>
        <w:jc w:val="both"/>
        <w:rPr>
          <w:rFonts w:ascii="StobiSerif Regular" w:hAnsi="StobiSerif Regular"/>
          <w:b/>
          <w:bCs/>
          <w:color w:val="000000" w:themeColor="text1"/>
          <w:lang w:val="sq-AL"/>
        </w:rPr>
      </w:pPr>
      <w:r w:rsidRPr="00C06F15">
        <w:rPr>
          <w:rFonts w:ascii="StobiSerif Regular" w:hAnsi="StobiSerif Regular"/>
          <w:b/>
          <w:bCs/>
          <w:color w:val="000000" w:themeColor="text1"/>
          <w:lang w:val="sq-AL"/>
        </w:rPr>
        <w:t>Komunat dhe Qendrat për Zhvillimin e Rajoneve Planifikuese: nga 90 posedues, 38 posedues e dorëzuan pyetësorin</w:t>
      </w:r>
    </w:p>
    <w:p w14:paraId="12AA4EDE" w14:textId="77777777" w:rsidR="006A0A87" w:rsidRPr="00C06F15" w:rsidRDefault="006A0A87" w:rsidP="006A0A87">
      <w:pPr>
        <w:pStyle w:val="ListParagraph"/>
        <w:jc w:val="both"/>
        <w:rPr>
          <w:rFonts w:ascii="StobiSerif Regular" w:hAnsi="StobiSerif Regular"/>
          <w:b/>
          <w:bCs/>
          <w:color w:val="000000" w:themeColor="text1"/>
          <w:lang w:val="sq-AL"/>
        </w:rPr>
      </w:pPr>
    </w:p>
    <w:p w14:paraId="2AA051A6" w14:textId="58637589" w:rsidR="006A0A87" w:rsidRPr="00C06F15" w:rsidRDefault="006A0A87" w:rsidP="006A0A87">
      <w:pPr>
        <w:pStyle w:val="ListParagraph"/>
        <w:numPr>
          <w:ilvl w:val="0"/>
          <w:numId w:val="1"/>
        </w:numPr>
        <w:jc w:val="both"/>
        <w:rPr>
          <w:rFonts w:ascii="StobiSerif Regular" w:hAnsi="StobiSerif Regular"/>
          <w:b/>
          <w:bCs/>
          <w:color w:val="000000" w:themeColor="text1"/>
          <w:lang w:val="sq-AL"/>
        </w:rPr>
      </w:pPr>
      <w:r w:rsidRPr="00C06F15">
        <w:rPr>
          <w:rFonts w:ascii="StobiSerif Regular" w:hAnsi="StobiSerif Regular"/>
          <w:b/>
          <w:bCs/>
          <w:color w:val="000000" w:themeColor="text1"/>
          <w:lang w:val="sq-AL"/>
        </w:rPr>
        <w:t>Ndërmarrjet publike nën juridiksionin e komunave dhe Qeverisë së Republikës së Maqedonisë: nga 43 posedues, 28 posedues, e dorëzuan pyetësorin</w:t>
      </w:r>
    </w:p>
    <w:p w14:paraId="63690D37" w14:textId="77777777" w:rsidR="006A0A87" w:rsidRPr="00C06F15" w:rsidRDefault="006A0A87" w:rsidP="006A0A87">
      <w:pPr>
        <w:pStyle w:val="ListParagraph"/>
        <w:jc w:val="both"/>
        <w:rPr>
          <w:rFonts w:ascii="StobiSerif Regular" w:hAnsi="StobiSerif Regular"/>
          <w:b/>
          <w:bCs/>
          <w:color w:val="000000" w:themeColor="text1"/>
          <w:lang w:val="sq-AL"/>
        </w:rPr>
      </w:pPr>
    </w:p>
    <w:p w14:paraId="0C2A0E68" w14:textId="5FD6917E" w:rsidR="00945673" w:rsidRPr="00C06F15" w:rsidRDefault="006A0A87" w:rsidP="006A0A87">
      <w:pPr>
        <w:pStyle w:val="ListParagraph"/>
        <w:numPr>
          <w:ilvl w:val="0"/>
          <w:numId w:val="1"/>
        </w:numPr>
        <w:jc w:val="both"/>
        <w:rPr>
          <w:rFonts w:ascii="StobiSerif Regular" w:hAnsi="StobiSerif Regular"/>
          <w:b/>
          <w:bCs/>
          <w:color w:val="000000" w:themeColor="text1"/>
          <w:lang w:val="sq-AL"/>
        </w:rPr>
      </w:pPr>
      <w:r w:rsidRPr="00C06F15">
        <w:rPr>
          <w:rFonts w:ascii="StobiSerif Regular" w:hAnsi="StobiSerif Regular"/>
          <w:b/>
          <w:bCs/>
          <w:color w:val="000000" w:themeColor="text1"/>
          <w:lang w:val="sq-AL"/>
        </w:rPr>
        <w:t xml:space="preserve">Qeveria e </w:t>
      </w:r>
      <w:r w:rsidRPr="00C06F15">
        <w:rPr>
          <w:rFonts w:ascii="StobiSerif Regular" w:hAnsi="StobiSerif Regular"/>
          <w:b/>
          <w:bCs/>
          <w:color w:val="000000" w:themeColor="text1"/>
          <w:lang w:val="sq-AL"/>
        </w:rPr>
        <w:t>RMV</w:t>
      </w:r>
      <w:r w:rsidRPr="00C06F15">
        <w:rPr>
          <w:rFonts w:ascii="StobiSerif Regular" w:hAnsi="StobiSerif Regular"/>
          <w:b/>
          <w:bCs/>
          <w:color w:val="000000" w:themeColor="text1"/>
          <w:lang w:val="sq-AL"/>
        </w:rPr>
        <w:t>, ministritë dhe organet përbërëse: nga 109 posedues,, 57 posedues, e dorëzuan pyetësorin</w:t>
      </w:r>
    </w:p>
    <w:p w14:paraId="73B9C690" w14:textId="7C1CC34D" w:rsidR="00945673" w:rsidRPr="00C06F15" w:rsidRDefault="00945673" w:rsidP="00945673">
      <w:pPr>
        <w:spacing w:after="0" w:line="240" w:lineRule="auto"/>
        <w:jc w:val="both"/>
        <w:rPr>
          <w:rFonts w:ascii="StobiSerif Regular" w:hAnsi="StobiSerif Regular"/>
          <w:b/>
          <w:bCs/>
          <w:lang w:val="sq-AL"/>
        </w:rPr>
      </w:pPr>
      <w:r w:rsidRPr="00C06F15">
        <w:rPr>
          <w:rFonts w:ascii="StobiSerif Regular" w:hAnsi="StobiSerif Regular"/>
          <w:b/>
          <w:bCs/>
          <w:lang w:val="sq-AL"/>
        </w:rPr>
        <w:br w:type="page"/>
      </w:r>
    </w:p>
    <w:p w14:paraId="6F918377" w14:textId="5119F585" w:rsidR="000144A3" w:rsidRPr="00C06F15" w:rsidRDefault="006A0A87" w:rsidP="000144A3">
      <w:pPr>
        <w:jc w:val="both"/>
        <w:rPr>
          <w:rFonts w:ascii="StobiSerif Regular" w:hAnsi="StobiSerif Regular"/>
          <w:lang w:val="sq-AL"/>
        </w:rPr>
      </w:pPr>
      <w:r w:rsidRPr="00C06F15">
        <w:rPr>
          <w:rFonts w:ascii="StobiSerif Regular" w:hAnsi="StobiSerif Regular"/>
          <w:lang w:val="sq-AL"/>
        </w:rPr>
        <w:lastRenderedPageBreak/>
        <w:t>Sipas përgjigjeve të marra në Pyetësorin e Vetëvlerësimit nga poseduesit, po bashkëngjitim tabelën me të dhënat e përmbledhura të shfaqura sipas numrit të poseduesve:</w:t>
      </w:r>
    </w:p>
    <w:p w14:paraId="0C594928" w14:textId="77777777" w:rsidR="00901FB2" w:rsidRPr="00C06F15" w:rsidRDefault="00901FB2" w:rsidP="000144A3">
      <w:pPr>
        <w:jc w:val="both"/>
        <w:rPr>
          <w:rFonts w:ascii="StobiSerif Regular" w:hAnsi="StobiSerif Regular"/>
          <w:lang w:val="sq-AL"/>
        </w:rPr>
      </w:pPr>
    </w:p>
    <w:tbl>
      <w:tblPr>
        <w:tblW w:w="9351" w:type="dxa"/>
        <w:tblLook w:val="04A0" w:firstRow="1" w:lastRow="0" w:firstColumn="1" w:lastColumn="0" w:noHBand="0" w:noVBand="1"/>
      </w:tblPr>
      <w:tblGrid>
        <w:gridCol w:w="1723"/>
        <w:gridCol w:w="1388"/>
        <w:gridCol w:w="1219"/>
        <w:gridCol w:w="1526"/>
        <w:gridCol w:w="1485"/>
        <w:gridCol w:w="2010"/>
      </w:tblGrid>
      <w:tr w:rsidR="00AB1916" w:rsidRPr="00C06F15" w14:paraId="2F1919BD" w14:textId="77777777" w:rsidTr="00945673">
        <w:trPr>
          <w:trHeight w:val="5302"/>
        </w:trPr>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C8B2E" w14:textId="25CE76CB" w:rsidR="009E2956" w:rsidRPr="00C06F15" w:rsidRDefault="00C60697" w:rsidP="009E2956">
            <w:pPr>
              <w:spacing w:after="0" w:line="240" w:lineRule="auto"/>
              <w:jc w:val="center"/>
              <w:rPr>
                <w:rFonts w:eastAsia="Times New Roman" w:cs="Calibri"/>
                <w:b/>
                <w:bCs/>
                <w:color w:val="000000"/>
                <w:sz w:val="18"/>
                <w:szCs w:val="18"/>
                <w:lang w:val="sq-AL" w:eastAsia="mk-MK"/>
              </w:rPr>
            </w:pPr>
            <w:r>
              <w:rPr>
                <w:rFonts w:eastAsia="Times New Roman" w:cs="Calibri"/>
                <w:b/>
                <w:bCs/>
                <w:color w:val="000000"/>
                <w:sz w:val="18"/>
                <w:szCs w:val="18"/>
                <w:lang w:val="sq-AL" w:eastAsia="mk-MK"/>
              </w:rPr>
              <w:t>Posedues / pyetje</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21F40F19" w14:textId="7DDAF007" w:rsidR="009E2956" w:rsidRPr="00C06F15" w:rsidRDefault="00C60697" w:rsidP="009E2956">
            <w:pPr>
              <w:spacing w:after="0" w:line="240" w:lineRule="auto"/>
              <w:jc w:val="center"/>
              <w:rPr>
                <w:rFonts w:eastAsia="Times New Roman" w:cs="Calibri"/>
                <w:b/>
                <w:bCs/>
                <w:color w:val="000000"/>
                <w:sz w:val="18"/>
                <w:szCs w:val="18"/>
                <w:lang w:val="sq-AL" w:eastAsia="mk-MK"/>
              </w:rPr>
            </w:pPr>
            <w:r>
              <w:rPr>
                <w:rFonts w:eastAsia="Times New Roman" w:cs="Calibri"/>
                <w:b/>
                <w:bCs/>
                <w:color w:val="000000"/>
                <w:sz w:val="18"/>
                <w:szCs w:val="18"/>
                <w:lang w:val="sq-AL" w:eastAsia="mk-MK"/>
              </w:rPr>
              <w:t>Numri i poseduesve të monitoruar</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14:paraId="2AF3EC14" w14:textId="48476FC8" w:rsidR="009E2956" w:rsidRPr="00C06F15" w:rsidRDefault="00C60697" w:rsidP="009E2956">
            <w:pPr>
              <w:spacing w:after="0" w:line="240" w:lineRule="auto"/>
              <w:jc w:val="center"/>
              <w:rPr>
                <w:rFonts w:eastAsia="Times New Roman" w:cs="Calibri"/>
                <w:b/>
                <w:bCs/>
                <w:color w:val="000000"/>
                <w:sz w:val="18"/>
                <w:szCs w:val="18"/>
                <w:lang w:val="sq-AL" w:eastAsia="mk-MK"/>
              </w:rPr>
            </w:pPr>
            <w:r>
              <w:rPr>
                <w:rFonts w:eastAsia="Times New Roman" w:cs="Calibri"/>
                <w:b/>
                <w:bCs/>
                <w:color w:val="000000"/>
                <w:sz w:val="18"/>
                <w:szCs w:val="18"/>
                <w:lang w:val="sq-AL" w:eastAsia="mk-MK"/>
              </w:rPr>
              <w:t>Pyetësorë të përgjigjura</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6AB490DE" w14:textId="4C26C2A1" w:rsidR="009E2956" w:rsidRPr="00C06F15" w:rsidRDefault="00C60697" w:rsidP="00C60697">
            <w:pPr>
              <w:spacing w:after="0" w:line="240" w:lineRule="auto"/>
              <w:jc w:val="center"/>
              <w:rPr>
                <w:rFonts w:eastAsia="Times New Roman" w:cs="Calibri"/>
                <w:b/>
                <w:bCs/>
                <w:color w:val="000000"/>
                <w:sz w:val="18"/>
                <w:szCs w:val="18"/>
                <w:lang w:val="sq-AL" w:eastAsia="mk-MK"/>
              </w:rPr>
            </w:pPr>
            <w:r w:rsidRPr="00C60697">
              <w:rPr>
                <w:rFonts w:eastAsia="Times New Roman" w:cs="Calibri"/>
                <w:b/>
                <w:bCs/>
                <w:color w:val="000000"/>
                <w:sz w:val="18"/>
                <w:szCs w:val="18"/>
                <w:lang w:val="sq-AL" w:eastAsia="mk-MK"/>
              </w:rPr>
              <w:t>A e keni publikuar informacionin e detyrueshëm nga Neni 10 i Ligjit për Qasje të Lirë në Informacion Publik në faqen tuaj të internetit duke vendosur një banderolë në një vend të dukshëm dhe duke drejtuar informacion</w:t>
            </w:r>
            <w:r>
              <w:rPr>
                <w:rFonts w:eastAsia="Times New Roman" w:cs="Calibri"/>
                <w:b/>
                <w:bCs/>
                <w:color w:val="000000"/>
                <w:sz w:val="18"/>
                <w:szCs w:val="18"/>
                <w:lang w:val="sq-AL" w:eastAsia="mk-MK"/>
              </w:rPr>
              <w:t>e me karakter</w:t>
            </w:r>
            <w:r w:rsidRPr="00C60697">
              <w:rPr>
                <w:rFonts w:eastAsia="Times New Roman" w:cs="Calibri"/>
                <w:b/>
                <w:bCs/>
                <w:color w:val="000000"/>
                <w:sz w:val="18"/>
                <w:szCs w:val="18"/>
                <w:lang w:val="sq-AL" w:eastAsia="mk-MK"/>
              </w:rPr>
              <w:t xml:space="preserve"> publik?</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2C2695CA" w14:textId="1D52EB66" w:rsidR="009E2956" w:rsidRPr="00C06F15" w:rsidRDefault="00C60697" w:rsidP="009E2956">
            <w:pPr>
              <w:spacing w:after="0" w:line="240" w:lineRule="auto"/>
              <w:jc w:val="center"/>
              <w:rPr>
                <w:rFonts w:asciiTheme="minorHAnsi" w:eastAsia="Times New Roman" w:hAnsiTheme="minorHAnsi" w:cs="Calibri"/>
                <w:b/>
                <w:bCs/>
                <w:color w:val="000000"/>
                <w:sz w:val="18"/>
                <w:szCs w:val="18"/>
                <w:lang w:val="sq-AL" w:eastAsia="mk-MK"/>
              </w:rPr>
            </w:pPr>
            <w:r w:rsidRPr="00C60697">
              <w:rPr>
                <w:rFonts w:eastAsia="Times New Roman" w:cs="Calibri"/>
                <w:b/>
                <w:bCs/>
                <w:color w:val="000000"/>
                <w:sz w:val="18"/>
                <w:szCs w:val="18"/>
                <w:lang w:val="sq-AL" w:eastAsia="mk-MK"/>
              </w:rPr>
              <w:t>A i keni publikuar në faqen tuaj të internetit kërkesat e anonimizuara për qasje në informacion publik për vitet 2023 dhe 2024, së bashku me përgjigjet që i keni dërguar tashmë kërkuesit, në mënyrë që ato të mund të ripërdoren nga individë dhe persona të tjerë juridikë pa riparaqitur një kërkesë me të njëjtën përmbajtje?</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14:paraId="5F4D2F36" w14:textId="36D1DC9C" w:rsidR="009E2956" w:rsidRPr="00C06F15" w:rsidRDefault="00C60697" w:rsidP="009E2956">
            <w:pPr>
              <w:spacing w:after="0" w:line="240" w:lineRule="auto"/>
              <w:jc w:val="center"/>
              <w:rPr>
                <w:rFonts w:eastAsia="Times New Roman" w:cs="Calibri"/>
                <w:b/>
                <w:bCs/>
                <w:color w:val="000000"/>
                <w:sz w:val="18"/>
                <w:szCs w:val="18"/>
                <w:lang w:val="sq-AL" w:eastAsia="mk-MK"/>
              </w:rPr>
            </w:pPr>
            <w:r w:rsidRPr="00C60697">
              <w:rPr>
                <w:rFonts w:eastAsia="Times New Roman" w:cs="Calibri"/>
                <w:b/>
                <w:bCs/>
                <w:color w:val="000000"/>
                <w:sz w:val="18"/>
                <w:szCs w:val="18"/>
                <w:lang w:val="sq-AL" w:eastAsia="mk-MK"/>
              </w:rPr>
              <w:t>A keni publikuar informacione publike të sistematizuara sipas fushave, në përputhje me nenin 10, paragrafi 1, pika 22 - informacione të tjera që rrjedhin nga kompetenca dhe puna e mbajtësit të informacionit nga Ligji për Qasje të Lirë në Informacion</w:t>
            </w:r>
            <w:r>
              <w:rPr>
                <w:rFonts w:eastAsia="Times New Roman" w:cs="Calibri"/>
                <w:b/>
                <w:bCs/>
                <w:color w:val="000000"/>
                <w:sz w:val="18"/>
                <w:szCs w:val="18"/>
                <w:lang w:val="sq-AL" w:eastAsia="mk-MK"/>
              </w:rPr>
              <w:t>e me Karakter</w:t>
            </w:r>
            <w:r w:rsidRPr="00C60697">
              <w:rPr>
                <w:rFonts w:eastAsia="Times New Roman" w:cs="Calibri"/>
                <w:b/>
                <w:bCs/>
                <w:color w:val="000000"/>
                <w:sz w:val="18"/>
                <w:szCs w:val="18"/>
                <w:lang w:val="sq-AL" w:eastAsia="mk-MK"/>
              </w:rPr>
              <w:t xml:space="preserve"> Publik, siç thuhet në Udhëzimet për Përmirësimin e Transparencës së Institucioneve të Sektorit Publik?</w:t>
            </w:r>
          </w:p>
        </w:tc>
      </w:tr>
      <w:tr w:rsidR="00C60697" w:rsidRPr="00C06F15" w14:paraId="32E25389" w14:textId="77777777" w:rsidTr="003B5068">
        <w:trPr>
          <w:trHeight w:val="76"/>
        </w:trPr>
        <w:tc>
          <w:tcPr>
            <w:tcW w:w="1723" w:type="dxa"/>
            <w:tcBorders>
              <w:top w:val="nil"/>
              <w:left w:val="single" w:sz="4" w:space="0" w:color="auto"/>
              <w:bottom w:val="single" w:sz="4" w:space="0" w:color="auto"/>
              <w:right w:val="single" w:sz="4" w:space="0" w:color="auto"/>
            </w:tcBorders>
            <w:shd w:val="clear" w:color="auto" w:fill="auto"/>
            <w:hideMark/>
          </w:tcPr>
          <w:p w14:paraId="70FD2972" w14:textId="649557A1" w:rsidR="00C60697" w:rsidRPr="00C06F15" w:rsidRDefault="00C60697" w:rsidP="00C60697">
            <w:pPr>
              <w:spacing w:after="0" w:line="240" w:lineRule="auto"/>
              <w:jc w:val="center"/>
              <w:rPr>
                <w:rFonts w:eastAsia="Times New Roman" w:cs="Calibri"/>
                <w:b/>
                <w:bCs/>
                <w:color w:val="000000"/>
                <w:sz w:val="18"/>
                <w:szCs w:val="18"/>
                <w:lang w:val="sq-AL" w:eastAsia="mk-MK"/>
              </w:rPr>
            </w:pPr>
            <w:r w:rsidRPr="00C60697">
              <w:rPr>
                <w:rFonts w:eastAsia="Times New Roman" w:cs="Calibri"/>
                <w:b/>
                <w:bCs/>
                <w:color w:val="000000"/>
                <w:sz w:val="18"/>
                <w:szCs w:val="18"/>
                <w:lang w:val="sq-AL" w:eastAsia="mk-MK"/>
              </w:rPr>
              <w:t>Komunat dhe Qendrat për Zhvillimin e Rajoneve Planifikuese</w:t>
            </w:r>
          </w:p>
        </w:tc>
        <w:tc>
          <w:tcPr>
            <w:tcW w:w="1388" w:type="dxa"/>
            <w:tcBorders>
              <w:top w:val="nil"/>
              <w:left w:val="nil"/>
              <w:bottom w:val="single" w:sz="4" w:space="0" w:color="auto"/>
              <w:right w:val="single" w:sz="4" w:space="0" w:color="auto"/>
            </w:tcBorders>
            <w:shd w:val="clear" w:color="auto" w:fill="auto"/>
            <w:noWrap/>
            <w:vAlign w:val="center"/>
            <w:hideMark/>
          </w:tcPr>
          <w:p w14:paraId="3B2BE6B0" w14:textId="77777777" w:rsidR="00C60697" w:rsidRPr="00C06F15" w:rsidRDefault="00C60697" w:rsidP="00C60697">
            <w:pPr>
              <w:spacing w:after="0" w:line="240" w:lineRule="auto"/>
              <w:jc w:val="center"/>
              <w:rPr>
                <w:rFonts w:ascii="Britannic Bold" w:eastAsia="Times New Roman" w:hAnsi="Britannic Bold"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90</w:t>
            </w:r>
          </w:p>
        </w:tc>
        <w:tc>
          <w:tcPr>
            <w:tcW w:w="1219" w:type="dxa"/>
            <w:tcBorders>
              <w:top w:val="nil"/>
              <w:left w:val="nil"/>
              <w:bottom w:val="single" w:sz="4" w:space="0" w:color="auto"/>
              <w:right w:val="single" w:sz="4" w:space="0" w:color="auto"/>
            </w:tcBorders>
            <w:shd w:val="clear" w:color="auto" w:fill="auto"/>
            <w:noWrap/>
            <w:vAlign w:val="center"/>
            <w:hideMark/>
          </w:tcPr>
          <w:p w14:paraId="1E3DB38C" w14:textId="77777777" w:rsidR="00C60697" w:rsidRPr="00C06F15" w:rsidRDefault="00C60697" w:rsidP="00C60697">
            <w:pPr>
              <w:spacing w:after="0" w:line="240" w:lineRule="auto"/>
              <w:jc w:val="center"/>
              <w:rPr>
                <w:rFonts w:ascii="Britannic Bold" w:eastAsia="Times New Roman" w:hAnsi="Britannic Bold"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38</w:t>
            </w:r>
          </w:p>
        </w:tc>
        <w:tc>
          <w:tcPr>
            <w:tcW w:w="1526" w:type="dxa"/>
            <w:tcBorders>
              <w:top w:val="nil"/>
              <w:left w:val="nil"/>
              <w:bottom w:val="single" w:sz="4" w:space="0" w:color="auto"/>
              <w:right w:val="single" w:sz="4" w:space="0" w:color="auto"/>
            </w:tcBorders>
            <w:shd w:val="clear" w:color="auto" w:fill="auto"/>
            <w:noWrap/>
            <w:vAlign w:val="center"/>
            <w:hideMark/>
          </w:tcPr>
          <w:p w14:paraId="401DD1E2" w14:textId="77777777" w:rsidR="00C60697" w:rsidRPr="00C06F15" w:rsidRDefault="00C60697" w:rsidP="00C60697">
            <w:pPr>
              <w:spacing w:after="0" w:line="240" w:lineRule="auto"/>
              <w:jc w:val="center"/>
              <w:rPr>
                <w:rFonts w:ascii="Britannic Bold" w:eastAsia="Times New Roman" w:hAnsi="Britannic Bold"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35</w:t>
            </w:r>
          </w:p>
        </w:tc>
        <w:tc>
          <w:tcPr>
            <w:tcW w:w="1485" w:type="dxa"/>
            <w:tcBorders>
              <w:top w:val="nil"/>
              <w:left w:val="nil"/>
              <w:bottom w:val="single" w:sz="4" w:space="0" w:color="auto"/>
              <w:right w:val="single" w:sz="4" w:space="0" w:color="auto"/>
            </w:tcBorders>
            <w:shd w:val="clear" w:color="auto" w:fill="auto"/>
            <w:noWrap/>
            <w:vAlign w:val="center"/>
            <w:hideMark/>
          </w:tcPr>
          <w:p w14:paraId="5309A4A4" w14:textId="77777777" w:rsidR="00C60697" w:rsidRPr="00C06F15" w:rsidRDefault="00C60697" w:rsidP="00C60697">
            <w:pPr>
              <w:spacing w:after="0" w:line="240" w:lineRule="auto"/>
              <w:jc w:val="center"/>
              <w:rPr>
                <w:rFonts w:ascii="Britannic Bold" w:eastAsia="Times New Roman" w:hAnsi="Britannic Bold"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15</w:t>
            </w:r>
          </w:p>
        </w:tc>
        <w:tc>
          <w:tcPr>
            <w:tcW w:w="2010" w:type="dxa"/>
            <w:tcBorders>
              <w:top w:val="nil"/>
              <w:left w:val="nil"/>
              <w:bottom w:val="single" w:sz="4" w:space="0" w:color="auto"/>
              <w:right w:val="single" w:sz="4" w:space="0" w:color="auto"/>
            </w:tcBorders>
            <w:shd w:val="clear" w:color="auto" w:fill="auto"/>
            <w:noWrap/>
            <w:vAlign w:val="center"/>
            <w:hideMark/>
          </w:tcPr>
          <w:p w14:paraId="33FE03BE" w14:textId="77777777" w:rsidR="00C60697" w:rsidRPr="00C06F15" w:rsidRDefault="00C60697" w:rsidP="00C60697">
            <w:pPr>
              <w:spacing w:after="0" w:line="240" w:lineRule="auto"/>
              <w:jc w:val="center"/>
              <w:rPr>
                <w:rFonts w:ascii="Britannic Bold" w:eastAsia="Times New Roman" w:hAnsi="Britannic Bold"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74</w:t>
            </w:r>
          </w:p>
        </w:tc>
      </w:tr>
      <w:tr w:rsidR="00C60697" w:rsidRPr="00C06F15" w14:paraId="46B80E36" w14:textId="77777777" w:rsidTr="003B5068">
        <w:trPr>
          <w:trHeight w:val="83"/>
        </w:trPr>
        <w:tc>
          <w:tcPr>
            <w:tcW w:w="1723" w:type="dxa"/>
            <w:tcBorders>
              <w:top w:val="nil"/>
              <w:left w:val="single" w:sz="4" w:space="0" w:color="auto"/>
              <w:bottom w:val="single" w:sz="4" w:space="0" w:color="auto"/>
              <w:right w:val="single" w:sz="4" w:space="0" w:color="auto"/>
            </w:tcBorders>
            <w:shd w:val="clear" w:color="auto" w:fill="auto"/>
            <w:noWrap/>
            <w:hideMark/>
          </w:tcPr>
          <w:p w14:paraId="2FAB7B7F" w14:textId="458BC224" w:rsidR="00C60697" w:rsidRPr="00C06F15" w:rsidRDefault="00C60697" w:rsidP="00C60697">
            <w:pPr>
              <w:spacing w:after="0" w:line="240" w:lineRule="auto"/>
              <w:jc w:val="center"/>
              <w:rPr>
                <w:rFonts w:eastAsia="Times New Roman" w:cs="Calibri"/>
                <w:b/>
                <w:bCs/>
                <w:color w:val="000000"/>
                <w:sz w:val="18"/>
                <w:szCs w:val="18"/>
                <w:lang w:val="sq-AL" w:eastAsia="mk-MK"/>
              </w:rPr>
            </w:pPr>
            <w:r w:rsidRPr="00C60697">
              <w:rPr>
                <w:rFonts w:eastAsia="Times New Roman" w:cs="Calibri"/>
                <w:b/>
                <w:bCs/>
                <w:color w:val="000000"/>
                <w:sz w:val="18"/>
                <w:szCs w:val="18"/>
                <w:lang w:val="sq-AL" w:eastAsia="mk-MK"/>
              </w:rPr>
              <w:t xml:space="preserve">Ndërmarrjet Private nën juridiksionin e komunave dhe Qeverisë së </w:t>
            </w:r>
            <w:r>
              <w:rPr>
                <w:rFonts w:eastAsia="Times New Roman" w:cs="Calibri"/>
                <w:b/>
                <w:bCs/>
                <w:color w:val="000000"/>
                <w:sz w:val="18"/>
                <w:szCs w:val="18"/>
                <w:lang w:val="sq-AL" w:eastAsia="mk-MK"/>
              </w:rPr>
              <w:t>RMV</w:t>
            </w:r>
          </w:p>
        </w:tc>
        <w:tc>
          <w:tcPr>
            <w:tcW w:w="1388" w:type="dxa"/>
            <w:tcBorders>
              <w:top w:val="nil"/>
              <w:left w:val="nil"/>
              <w:bottom w:val="single" w:sz="4" w:space="0" w:color="auto"/>
              <w:right w:val="single" w:sz="4" w:space="0" w:color="auto"/>
            </w:tcBorders>
            <w:shd w:val="clear" w:color="auto" w:fill="auto"/>
            <w:noWrap/>
            <w:vAlign w:val="center"/>
            <w:hideMark/>
          </w:tcPr>
          <w:p w14:paraId="60AD90F9" w14:textId="77777777" w:rsidR="00C60697" w:rsidRPr="00C06F15" w:rsidRDefault="00C60697" w:rsidP="00C60697">
            <w:pPr>
              <w:spacing w:after="0" w:line="240" w:lineRule="auto"/>
              <w:jc w:val="center"/>
              <w:rPr>
                <w:rFonts w:ascii="Britannic Bold" w:eastAsia="Times New Roman" w:hAnsi="Britannic Bold"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43</w:t>
            </w:r>
          </w:p>
        </w:tc>
        <w:tc>
          <w:tcPr>
            <w:tcW w:w="1219" w:type="dxa"/>
            <w:tcBorders>
              <w:top w:val="nil"/>
              <w:left w:val="nil"/>
              <w:bottom w:val="single" w:sz="4" w:space="0" w:color="auto"/>
              <w:right w:val="single" w:sz="4" w:space="0" w:color="auto"/>
            </w:tcBorders>
            <w:shd w:val="clear" w:color="auto" w:fill="auto"/>
            <w:noWrap/>
            <w:vAlign w:val="center"/>
            <w:hideMark/>
          </w:tcPr>
          <w:p w14:paraId="7D9F987D" w14:textId="77777777" w:rsidR="00C60697" w:rsidRPr="00C06F15" w:rsidRDefault="00C60697" w:rsidP="00C60697">
            <w:pPr>
              <w:spacing w:after="0" w:line="240" w:lineRule="auto"/>
              <w:jc w:val="center"/>
              <w:rPr>
                <w:rFonts w:ascii="Britannic Bold" w:eastAsia="Times New Roman" w:hAnsi="Britannic Bold"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28</w:t>
            </w:r>
          </w:p>
        </w:tc>
        <w:tc>
          <w:tcPr>
            <w:tcW w:w="1526" w:type="dxa"/>
            <w:tcBorders>
              <w:top w:val="nil"/>
              <w:left w:val="nil"/>
              <w:bottom w:val="single" w:sz="4" w:space="0" w:color="auto"/>
              <w:right w:val="single" w:sz="4" w:space="0" w:color="auto"/>
            </w:tcBorders>
            <w:shd w:val="clear" w:color="auto" w:fill="auto"/>
            <w:noWrap/>
            <w:vAlign w:val="center"/>
            <w:hideMark/>
          </w:tcPr>
          <w:p w14:paraId="6EA9F329" w14:textId="77777777" w:rsidR="00C60697" w:rsidRPr="00C06F15" w:rsidRDefault="00C60697" w:rsidP="00C60697">
            <w:pPr>
              <w:spacing w:after="0" w:line="240" w:lineRule="auto"/>
              <w:jc w:val="center"/>
              <w:rPr>
                <w:rFonts w:ascii="Britannic Bold" w:eastAsia="Times New Roman" w:hAnsi="Britannic Bold"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24</w:t>
            </w:r>
          </w:p>
        </w:tc>
        <w:tc>
          <w:tcPr>
            <w:tcW w:w="1485" w:type="dxa"/>
            <w:tcBorders>
              <w:top w:val="nil"/>
              <w:left w:val="nil"/>
              <w:bottom w:val="single" w:sz="4" w:space="0" w:color="auto"/>
              <w:right w:val="single" w:sz="4" w:space="0" w:color="auto"/>
            </w:tcBorders>
            <w:shd w:val="clear" w:color="auto" w:fill="auto"/>
            <w:noWrap/>
            <w:vAlign w:val="center"/>
            <w:hideMark/>
          </w:tcPr>
          <w:p w14:paraId="08E26090" w14:textId="77777777" w:rsidR="00C60697" w:rsidRPr="00C06F15" w:rsidRDefault="00C60697" w:rsidP="00C60697">
            <w:pPr>
              <w:spacing w:after="0" w:line="240" w:lineRule="auto"/>
              <w:jc w:val="center"/>
              <w:rPr>
                <w:rFonts w:ascii="Britannic Bold" w:eastAsia="Times New Roman" w:hAnsi="Britannic Bold"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14</w:t>
            </w:r>
          </w:p>
        </w:tc>
        <w:tc>
          <w:tcPr>
            <w:tcW w:w="2010" w:type="dxa"/>
            <w:tcBorders>
              <w:top w:val="nil"/>
              <w:left w:val="nil"/>
              <w:bottom w:val="single" w:sz="4" w:space="0" w:color="auto"/>
              <w:right w:val="single" w:sz="4" w:space="0" w:color="auto"/>
            </w:tcBorders>
            <w:shd w:val="clear" w:color="auto" w:fill="auto"/>
            <w:noWrap/>
            <w:vAlign w:val="center"/>
            <w:hideMark/>
          </w:tcPr>
          <w:p w14:paraId="6F9F20BE" w14:textId="77777777" w:rsidR="00C60697" w:rsidRPr="00C06F15" w:rsidRDefault="00C60697" w:rsidP="00C60697">
            <w:pPr>
              <w:spacing w:after="0" w:line="240" w:lineRule="auto"/>
              <w:jc w:val="center"/>
              <w:rPr>
                <w:rFonts w:ascii="Britannic Bold" w:eastAsia="Times New Roman" w:hAnsi="Britannic Bold"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39</w:t>
            </w:r>
          </w:p>
        </w:tc>
      </w:tr>
      <w:tr w:rsidR="00C60697" w:rsidRPr="00C06F15" w14:paraId="43D2D978" w14:textId="77777777" w:rsidTr="003B5068">
        <w:trPr>
          <w:trHeight w:val="134"/>
        </w:trPr>
        <w:tc>
          <w:tcPr>
            <w:tcW w:w="1723" w:type="dxa"/>
            <w:tcBorders>
              <w:top w:val="nil"/>
              <w:left w:val="single" w:sz="4" w:space="0" w:color="auto"/>
              <w:bottom w:val="single" w:sz="4" w:space="0" w:color="auto"/>
              <w:right w:val="single" w:sz="4" w:space="0" w:color="auto"/>
            </w:tcBorders>
            <w:shd w:val="clear" w:color="auto" w:fill="auto"/>
            <w:hideMark/>
          </w:tcPr>
          <w:p w14:paraId="1E060AC1" w14:textId="7D153884" w:rsidR="00C60697" w:rsidRPr="00C06F15" w:rsidRDefault="00C60697" w:rsidP="00C60697">
            <w:pPr>
              <w:spacing w:after="0" w:line="240" w:lineRule="auto"/>
              <w:jc w:val="center"/>
              <w:rPr>
                <w:rFonts w:eastAsia="Times New Roman" w:cs="Calibri"/>
                <w:b/>
                <w:bCs/>
                <w:color w:val="000000"/>
                <w:sz w:val="18"/>
                <w:szCs w:val="18"/>
                <w:lang w:val="sq-AL" w:eastAsia="mk-MK"/>
              </w:rPr>
            </w:pPr>
            <w:r w:rsidRPr="00C60697">
              <w:rPr>
                <w:rFonts w:eastAsia="Times New Roman" w:cs="Calibri"/>
                <w:b/>
                <w:bCs/>
                <w:color w:val="000000"/>
                <w:sz w:val="18"/>
                <w:szCs w:val="18"/>
                <w:lang w:val="sq-AL" w:eastAsia="mk-MK"/>
              </w:rPr>
              <w:t xml:space="preserve">Qeveria e </w:t>
            </w:r>
            <w:r>
              <w:rPr>
                <w:rFonts w:eastAsia="Times New Roman" w:cs="Calibri"/>
                <w:b/>
                <w:bCs/>
                <w:color w:val="000000"/>
                <w:sz w:val="18"/>
                <w:szCs w:val="18"/>
                <w:lang w:val="sq-AL" w:eastAsia="mk-MK"/>
              </w:rPr>
              <w:t>RMV</w:t>
            </w:r>
            <w:r w:rsidRPr="00C60697">
              <w:rPr>
                <w:rFonts w:eastAsia="Times New Roman" w:cs="Calibri"/>
                <w:b/>
                <w:bCs/>
                <w:color w:val="000000"/>
                <w:sz w:val="18"/>
                <w:szCs w:val="18"/>
                <w:lang w:val="sq-AL" w:eastAsia="mk-MK"/>
              </w:rPr>
              <w:t>, ministritë dhe organet brenda saj</w:t>
            </w:r>
          </w:p>
        </w:tc>
        <w:tc>
          <w:tcPr>
            <w:tcW w:w="1388" w:type="dxa"/>
            <w:tcBorders>
              <w:top w:val="nil"/>
              <w:left w:val="nil"/>
              <w:bottom w:val="single" w:sz="4" w:space="0" w:color="auto"/>
              <w:right w:val="single" w:sz="4" w:space="0" w:color="auto"/>
            </w:tcBorders>
            <w:shd w:val="clear" w:color="auto" w:fill="auto"/>
            <w:noWrap/>
            <w:vAlign w:val="center"/>
            <w:hideMark/>
          </w:tcPr>
          <w:p w14:paraId="68D75F7C" w14:textId="15F1C4D8" w:rsidR="00C60697" w:rsidRPr="00C06F15" w:rsidRDefault="00C60697" w:rsidP="00C60697">
            <w:pPr>
              <w:spacing w:after="0" w:line="240" w:lineRule="auto"/>
              <w:jc w:val="center"/>
              <w:rPr>
                <w:rFonts w:ascii="Britannic Bold" w:eastAsia="Times New Roman" w:hAnsi="Britannic Bold"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109</w:t>
            </w:r>
          </w:p>
        </w:tc>
        <w:tc>
          <w:tcPr>
            <w:tcW w:w="1219" w:type="dxa"/>
            <w:tcBorders>
              <w:top w:val="nil"/>
              <w:left w:val="nil"/>
              <w:bottom w:val="single" w:sz="4" w:space="0" w:color="auto"/>
              <w:right w:val="single" w:sz="4" w:space="0" w:color="auto"/>
            </w:tcBorders>
            <w:shd w:val="clear" w:color="auto" w:fill="auto"/>
            <w:noWrap/>
            <w:vAlign w:val="center"/>
            <w:hideMark/>
          </w:tcPr>
          <w:p w14:paraId="2976FBEE" w14:textId="77777777" w:rsidR="00C60697" w:rsidRPr="00C06F15" w:rsidRDefault="00C60697" w:rsidP="00C60697">
            <w:pPr>
              <w:spacing w:after="0" w:line="240" w:lineRule="auto"/>
              <w:jc w:val="center"/>
              <w:rPr>
                <w:rFonts w:ascii="Britannic Bold" w:eastAsia="Times New Roman" w:hAnsi="Britannic Bold"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57</w:t>
            </w:r>
          </w:p>
        </w:tc>
        <w:tc>
          <w:tcPr>
            <w:tcW w:w="1526" w:type="dxa"/>
            <w:tcBorders>
              <w:top w:val="nil"/>
              <w:left w:val="nil"/>
              <w:bottom w:val="single" w:sz="4" w:space="0" w:color="auto"/>
              <w:right w:val="single" w:sz="4" w:space="0" w:color="auto"/>
            </w:tcBorders>
            <w:shd w:val="clear" w:color="auto" w:fill="auto"/>
            <w:noWrap/>
            <w:vAlign w:val="center"/>
            <w:hideMark/>
          </w:tcPr>
          <w:p w14:paraId="54AB91CE" w14:textId="77777777" w:rsidR="00C60697" w:rsidRPr="00C06F15" w:rsidRDefault="00C60697" w:rsidP="00C60697">
            <w:pPr>
              <w:spacing w:after="0" w:line="240" w:lineRule="auto"/>
              <w:jc w:val="center"/>
              <w:rPr>
                <w:rFonts w:ascii="Britannic Bold" w:eastAsia="Times New Roman" w:hAnsi="Britannic Bold"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76</w:t>
            </w:r>
          </w:p>
        </w:tc>
        <w:tc>
          <w:tcPr>
            <w:tcW w:w="1485" w:type="dxa"/>
            <w:tcBorders>
              <w:top w:val="nil"/>
              <w:left w:val="nil"/>
              <w:bottom w:val="single" w:sz="4" w:space="0" w:color="auto"/>
              <w:right w:val="single" w:sz="4" w:space="0" w:color="auto"/>
            </w:tcBorders>
            <w:shd w:val="clear" w:color="auto" w:fill="auto"/>
            <w:noWrap/>
            <w:vAlign w:val="center"/>
            <w:hideMark/>
          </w:tcPr>
          <w:p w14:paraId="55057C74" w14:textId="77777777" w:rsidR="00C60697" w:rsidRPr="00C06F15" w:rsidRDefault="00C60697" w:rsidP="00C60697">
            <w:pPr>
              <w:spacing w:after="0" w:line="240" w:lineRule="auto"/>
              <w:jc w:val="center"/>
              <w:rPr>
                <w:rFonts w:ascii="Britannic Bold" w:eastAsia="Times New Roman" w:hAnsi="Britannic Bold"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38</w:t>
            </w:r>
          </w:p>
        </w:tc>
        <w:tc>
          <w:tcPr>
            <w:tcW w:w="2010" w:type="dxa"/>
            <w:tcBorders>
              <w:top w:val="nil"/>
              <w:left w:val="nil"/>
              <w:bottom w:val="single" w:sz="4" w:space="0" w:color="auto"/>
              <w:right w:val="single" w:sz="4" w:space="0" w:color="auto"/>
            </w:tcBorders>
            <w:shd w:val="clear" w:color="auto" w:fill="auto"/>
            <w:noWrap/>
            <w:vAlign w:val="center"/>
            <w:hideMark/>
          </w:tcPr>
          <w:p w14:paraId="4E844834" w14:textId="77777777" w:rsidR="00C60697" w:rsidRPr="00C06F15" w:rsidRDefault="00C60697" w:rsidP="00C60697">
            <w:pPr>
              <w:spacing w:after="0" w:line="240" w:lineRule="auto"/>
              <w:jc w:val="center"/>
              <w:rPr>
                <w:rFonts w:ascii="Britannic Bold" w:eastAsia="Times New Roman" w:hAnsi="Britannic Bold"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96</w:t>
            </w:r>
          </w:p>
        </w:tc>
      </w:tr>
      <w:tr w:rsidR="009E2956" w:rsidRPr="00C06F15" w14:paraId="205182AD" w14:textId="77777777" w:rsidTr="00AB1916">
        <w:trPr>
          <w:trHeight w:val="26"/>
        </w:trPr>
        <w:tc>
          <w:tcPr>
            <w:tcW w:w="1723" w:type="dxa"/>
            <w:tcBorders>
              <w:top w:val="nil"/>
              <w:left w:val="single" w:sz="4" w:space="0" w:color="auto"/>
              <w:bottom w:val="single" w:sz="4" w:space="0" w:color="auto"/>
              <w:right w:val="single" w:sz="4" w:space="0" w:color="auto"/>
            </w:tcBorders>
            <w:shd w:val="clear" w:color="auto" w:fill="auto"/>
            <w:vAlign w:val="center"/>
            <w:hideMark/>
          </w:tcPr>
          <w:p w14:paraId="0AED9DA0" w14:textId="0416A8D6" w:rsidR="009E2956" w:rsidRPr="00C06F15" w:rsidRDefault="00C60697" w:rsidP="009E2956">
            <w:pPr>
              <w:spacing w:after="0" w:line="240" w:lineRule="auto"/>
              <w:jc w:val="center"/>
              <w:rPr>
                <w:rFonts w:eastAsia="Times New Roman" w:cs="Calibri"/>
                <w:b/>
                <w:bCs/>
                <w:color w:val="000000"/>
                <w:sz w:val="18"/>
                <w:szCs w:val="18"/>
                <w:lang w:val="sq-AL" w:eastAsia="mk-MK"/>
              </w:rPr>
            </w:pPr>
            <w:r>
              <w:rPr>
                <w:rFonts w:eastAsia="Times New Roman" w:cs="Calibri"/>
                <w:b/>
                <w:bCs/>
                <w:color w:val="000000"/>
                <w:sz w:val="18"/>
                <w:szCs w:val="18"/>
                <w:lang w:val="sq-AL" w:eastAsia="mk-MK"/>
              </w:rPr>
              <w:t xml:space="preserve">Gjithsej </w:t>
            </w:r>
            <w:r w:rsidR="009E2956" w:rsidRPr="00C06F15">
              <w:rPr>
                <w:rFonts w:ascii="Britannic Bold" w:eastAsia="Times New Roman" w:hAnsi="Britannic Bold" w:cs="Calibri"/>
                <w:b/>
                <w:bCs/>
                <w:color w:val="000000"/>
                <w:sz w:val="18"/>
                <w:szCs w:val="18"/>
                <w:lang w:val="sq-AL" w:eastAsia="mk-MK"/>
              </w:rPr>
              <w:t xml:space="preserve"> 246</w:t>
            </w:r>
          </w:p>
        </w:tc>
        <w:tc>
          <w:tcPr>
            <w:tcW w:w="1388" w:type="dxa"/>
            <w:tcBorders>
              <w:top w:val="nil"/>
              <w:left w:val="nil"/>
              <w:bottom w:val="single" w:sz="4" w:space="0" w:color="auto"/>
              <w:right w:val="single" w:sz="4" w:space="0" w:color="auto"/>
            </w:tcBorders>
            <w:shd w:val="clear" w:color="auto" w:fill="auto"/>
            <w:noWrap/>
            <w:vAlign w:val="center"/>
            <w:hideMark/>
          </w:tcPr>
          <w:p w14:paraId="58C4AC1C" w14:textId="1A56B3EB" w:rsidR="009E2956" w:rsidRPr="00C06F15" w:rsidRDefault="00CC5F5B" w:rsidP="009E2956">
            <w:pPr>
              <w:spacing w:after="0" w:line="240" w:lineRule="auto"/>
              <w:jc w:val="center"/>
              <w:rPr>
                <w:rFonts w:asciiTheme="minorHAnsi" w:eastAsia="Times New Roman" w:hAnsiTheme="minorHAnsi"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242</w:t>
            </w:r>
          </w:p>
        </w:tc>
        <w:tc>
          <w:tcPr>
            <w:tcW w:w="1219" w:type="dxa"/>
            <w:tcBorders>
              <w:top w:val="nil"/>
              <w:left w:val="nil"/>
              <w:bottom w:val="single" w:sz="4" w:space="0" w:color="auto"/>
              <w:right w:val="single" w:sz="4" w:space="0" w:color="auto"/>
            </w:tcBorders>
            <w:shd w:val="clear" w:color="auto" w:fill="auto"/>
            <w:noWrap/>
            <w:vAlign w:val="bottom"/>
            <w:hideMark/>
          </w:tcPr>
          <w:p w14:paraId="0C0B95BA" w14:textId="77777777" w:rsidR="009E2956" w:rsidRPr="00C06F15" w:rsidRDefault="009E2956" w:rsidP="009E2956">
            <w:pPr>
              <w:spacing w:after="0" w:line="240" w:lineRule="auto"/>
              <w:jc w:val="center"/>
              <w:rPr>
                <w:rFonts w:ascii="Britannic Bold" w:eastAsia="Times New Roman" w:hAnsi="Britannic Bold" w:cs="Calibri"/>
                <w:b/>
                <w:bCs/>
                <w:color w:val="000000"/>
                <w:sz w:val="22"/>
                <w:szCs w:val="22"/>
                <w:lang w:val="sq-AL" w:eastAsia="mk-MK"/>
              </w:rPr>
            </w:pPr>
            <w:r w:rsidRPr="00C06F15">
              <w:rPr>
                <w:rFonts w:ascii="Britannic Bold" w:eastAsia="Times New Roman" w:hAnsi="Britannic Bold" w:cs="Calibri"/>
                <w:b/>
                <w:bCs/>
                <w:color w:val="000000"/>
                <w:sz w:val="22"/>
                <w:szCs w:val="22"/>
                <w:lang w:val="sq-AL" w:eastAsia="mk-MK"/>
              </w:rPr>
              <w:t>123</w:t>
            </w:r>
          </w:p>
        </w:tc>
        <w:tc>
          <w:tcPr>
            <w:tcW w:w="1526" w:type="dxa"/>
            <w:tcBorders>
              <w:top w:val="nil"/>
              <w:left w:val="nil"/>
              <w:bottom w:val="single" w:sz="4" w:space="0" w:color="auto"/>
              <w:right w:val="single" w:sz="4" w:space="0" w:color="auto"/>
            </w:tcBorders>
            <w:shd w:val="clear" w:color="auto" w:fill="auto"/>
            <w:noWrap/>
            <w:vAlign w:val="center"/>
            <w:hideMark/>
          </w:tcPr>
          <w:p w14:paraId="337BB519" w14:textId="7ED59222" w:rsidR="009E2956" w:rsidRPr="00C06F15" w:rsidRDefault="001638B1" w:rsidP="009E2956">
            <w:pPr>
              <w:spacing w:after="0" w:line="240" w:lineRule="auto"/>
              <w:jc w:val="center"/>
              <w:rPr>
                <w:rFonts w:asciiTheme="minorHAnsi" w:eastAsia="Times New Roman" w:hAnsiTheme="minorHAnsi"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135</w:t>
            </w:r>
          </w:p>
        </w:tc>
        <w:tc>
          <w:tcPr>
            <w:tcW w:w="1485" w:type="dxa"/>
            <w:tcBorders>
              <w:top w:val="nil"/>
              <w:left w:val="nil"/>
              <w:bottom w:val="single" w:sz="4" w:space="0" w:color="auto"/>
              <w:right w:val="single" w:sz="4" w:space="0" w:color="auto"/>
            </w:tcBorders>
            <w:shd w:val="clear" w:color="auto" w:fill="auto"/>
            <w:noWrap/>
            <w:vAlign w:val="center"/>
            <w:hideMark/>
          </w:tcPr>
          <w:p w14:paraId="2BDF4039" w14:textId="4C70D3ED" w:rsidR="009E2956" w:rsidRPr="00C06F15" w:rsidRDefault="001638B1" w:rsidP="009E2956">
            <w:pPr>
              <w:spacing w:after="0" w:line="240" w:lineRule="auto"/>
              <w:jc w:val="center"/>
              <w:rPr>
                <w:rFonts w:asciiTheme="minorHAnsi" w:eastAsia="Times New Roman" w:hAnsiTheme="minorHAnsi"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67</w:t>
            </w:r>
          </w:p>
        </w:tc>
        <w:tc>
          <w:tcPr>
            <w:tcW w:w="2010" w:type="dxa"/>
            <w:tcBorders>
              <w:top w:val="nil"/>
              <w:left w:val="nil"/>
              <w:bottom w:val="single" w:sz="4" w:space="0" w:color="auto"/>
              <w:right w:val="single" w:sz="4" w:space="0" w:color="auto"/>
            </w:tcBorders>
            <w:shd w:val="clear" w:color="auto" w:fill="auto"/>
            <w:noWrap/>
            <w:vAlign w:val="center"/>
            <w:hideMark/>
          </w:tcPr>
          <w:p w14:paraId="2EAF90C4" w14:textId="542F3832" w:rsidR="009E2956" w:rsidRPr="00C06F15" w:rsidRDefault="001638B1" w:rsidP="009E2956">
            <w:pPr>
              <w:spacing w:after="0" w:line="240" w:lineRule="auto"/>
              <w:jc w:val="center"/>
              <w:rPr>
                <w:rFonts w:ascii="Britannic Bold" w:eastAsia="Times New Roman" w:hAnsi="Britannic Bold" w:cs="Calibri"/>
                <w:color w:val="000000"/>
                <w:sz w:val="22"/>
                <w:szCs w:val="22"/>
                <w:lang w:val="sq-AL" w:eastAsia="mk-MK"/>
              </w:rPr>
            </w:pPr>
            <w:r w:rsidRPr="00C06F15">
              <w:rPr>
                <w:rFonts w:ascii="Britannic Bold" w:eastAsia="Times New Roman" w:hAnsi="Britannic Bold" w:cs="Calibri"/>
                <w:color w:val="000000"/>
                <w:sz w:val="22"/>
                <w:szCs w:val="22"/>
                <w:lang w:val="sq-AL" w:eastAsia="mk-MK"/>
              </w:rPr>
              <w:t>209</w:t>
            </w:r>
          </w:p>
        </w:tc>
      </w:tr>
    </w:tbl>
    <w:p w14:paraId="6F72D7C5" w14:textId="77777777" w:rsidR="000144A3" w:rsidRPr="00C06F15" w:rsidRDefault="000144A3" w:rsidP="000144A3">
      <w:pPr>
        <w:tabs>
          <w:tab w:val="left" w:pos="4032"/>
        </w:tabs>
        <w:rPr>
          <w:rFonts w:ascii="StobiSerif Regular" w:hAnsi="StobiSerif Regular"/>
          <w:b/>
          <w:bCs/>
          <w:u w:val="single"/>
          <w:lang w:val="sq-AL"/>
        </w:rPr>
      </w:pPr>
    </w:p>
    <w:p w14:paraId="2249DAAA" w14:textId="77777777" w:rsidR="009267FB" w:rsidRPr="00C06F15" w:rsidRDefault="009267FB">
      <w:pPr>
        <w:spacing w:after="0" w:line="240" w:lineRule="auto"/>
        <w:jc w:val="both"/>
        <w:rPr>
          <w:rFonts w:ascii="StobiSerif Regular" w:hAnsi="StobiSerif Regular"/>
          <w:b/>
          <w:bCs/>
          <w:u w:val="single"/>
          <w:lang w:val="sq-AL"/>
        </w:rPr>
      </w:pPr>
      <w:r w:rsidRPr="00C06F15">
        <w:rPr>
          <w:rFonts w:ascii="StobiSerif Regular" w:hAnsi="StobiSerif Regular"/>
          <w:b/>
          <w:bCs/>
          <w:u w:val="single"/>
          <w:lang w:val="sq-AL"/>
        </w:rPr>
        <w:br w:type="page"/>
      </w:r>
    </w:p>
    <w:p w14:paraId="23CC8EF0" w14:textId="7CB58198" w:rsidR="000144A3" w:rsidRPr="00C06F15" w:rsidRDefault="006A0A87" w:rsidP="000144A3">
      <w:pPr>
        <w:tabs>
          <w:tab w:val="left" w:pos="4032"/>
        </w:tabs>
        <w:rPr>
          <w:rFonts w:ascii="StobiSerif Regular" w:hAnsi="StobiSerif Regular"/>
          <w:b/>
          <w:bCs/>
          <w:u w:val="single"/>
          <w:lang w:val="sq-AL"/>
        </w:rPr>
      </w:pPr>
      <w:r w:rsidRPr="00C06F15">
        <w:rPr>
          <w:rFonts w:ascii="StobiSerif Regular" w:hAnsi="StobiSerif Regular"/>
          <w:b/>
          <w:bCs/>
          <w:u w:val="single"/>
          <w:lang w:val="sq-AL"/>
        </w:rPr>
        <w:lastRenderedPageBreak/>
        <w:t>Shënime</w:t>
      </w:r>
      <w:r w:rsidR="000144A3" w:rsidRPr="00C06F15">
        <w:rPr>
          <w:rFonts w:ascii="StobiSerif Regular" w:hAnsi="StobiSerif Regular"/>
          <w:b/>
          <w:bCs/>
          <w:u w:val="single"/>
          <w:lang w:val="sq-AL"/>
        </w:rPr>
        <w:t>:</w:t>
      </w:r>
    </w:p>
    <w:p w14:paraId="3815A5AB" w14:textId="61D05A5F" w:rsidR="006A0A87" w:rsidRPr="00C06F15" w:rsidRDefault="006A0A87" w:rsidP="006A0A87">
      <w:pPr>
        <w:tabs>
          <w:tab w:val="left" w:pos="4032"/>
        </w:tabs>
        <w:jc w:val="both"/>
        <w:rPr>
          <w:rFonts w:ascii="StobiSerif Regular" w:hAnsi="StobiSerif Regular"/>
          <w:color w:val="000000" w:themeColor="text1"/>
          <w:lang w:val="sq-AL"/>
        </w:rPr>
      </w:pPr>
      <w:r w:rsidRPr="00C06F15">
        <w:rPr>
          <w:rFonts w:ascii="StobiSerif Regular" w:hAnsi="StobiSerif Regular"/>
          <w:color w:val="000000" w:themeColor="text1"/>
          <w:lang w:val="sq-AL"/>
        </w:rPr>
        <w:t xml:space="preserve">Numri i përgjithshëm i </w:t>
      </w:r>
      <w:r w:rsidRPr="00C06F15">
        <w:rPr>
          <w:rFonts w:ascii="StobiSerif Regular" w:hAnsi="StobiSerif Regular"/>
          <w:color w:val="000000" w:themeColor="text1"/>
          <w:lang w:val="sq-AL"/>
        </w:rPr>
        <w:t>poseduesve</w:t>
      </w:r>
      <w:r w:rsidRPr="00C06F15">
        <w:rPr>
          <w:rFonts w:ascii="StobiSerif Regular" w:hAnsi="StobiSerif Regular"/>
          <w:color w:val="000000" w:themeColor="text1"/>
          <w:lang w:val="sq-AL"/>
        </w:rPr>
        <w:t xml:space="preserve"> të monitoruar është 246, megjithatë, midis organeve shtetërore ka 4 </w:t>
      </w:r>
      <w:r w:rsidRPr="00C06F15">
        <w:rPr>
          <w:rFonts w:ascii="StobiSerif Regular" w:hAnsi="StobiSerif Regular"/>
          <w:color w:val="000000" w:themeColor="text1"/>
          <w:lang w:val="sq-AL"/>
        </w:rPr>
        <w:t>posedues</w:t>
      </w:r>
      <w:r w:rsidRPr="00C06F15">
        <w:rPr>
          <w:rFonts w:ascii="StobiSerif Regular" w:hAnsi="StobiSerif Regular"/>
          <w:color w:val="000000" w:themeColor="text1"/>
          <w:lang w:val="sq-AL"/>
        </w:rPr>
        <w:t xml:space="preserve"> që nuk mund të monitoroheshin në kohën e monitorimit, sepse posedues</w:t>
      </w:r>
      <w:r w:rsidRPr="00C06F15">
        <w:rPr>
          <w:rFonts w:ascii="StobiSerif Regular" w:hAnsi="StobiSerif Regular"/>
          <w:color w:val="000000" w:themeColor="text1"/>
          <w:lang w:val="sq-AL"/>
        </w:rPr>
        <w:t>it</w:t>
      </w:r>
      <w:r w:rsidRPr="00C06F15">
        <w:rPr>
          <w:rFonts w:ascii="StobiSerif Regular" w:hAnsi="StobiSerif Regular"/>
          <w:color w:val="000000" w:themeColor="text1"/>
          <w:lang w:val="sq-AL"/>
        </w:rPr>
        <w:t xml:space="preserve"> nuk kishin faqe interneti ose nuk ishin funksionale dhe nga ky aspekt nuk ishin pjesë e monitorimit të kryer.</w:t>
      </w:r>
    </w:p>
    <w:p w14:paraId="4CD47255" w14:textId="66BF1AA7" w:rsidR="006A0A87" w:rsidRPr="00C06F15" w:rsidRDefault="006A0A87" w:rsidP="006A0A87">
      <w:pPr>
        <w:tabs>
          <w:tab w:val="left" w:pos="4032"/>
        </w:tabs>
        <w:jc w:val="both"/>
        <w:rPr>
          <w:rFonts w:ascii="StobiSerif Regular" w:hAnsi="StobiSerif Regular"/>
          <w:color w:val="000000" w:themeColor="text1"/>
          <w:lang w:val="sq-AL"/>
        </w:rPr>
      </w:pPr>
      <w:r w:rsidRPr="00C06F15">
        <w:rPr>
          <w:rFonts w:ascii="StobiSerif Regular" w:hAnsi="StobiSerif Regular"/>
          <w:color w:val="000000" w:themeColor="text1"/>
          <w:lang w:val="sq-AL"/>
        </w:rPr>
        <w:t xml:space="preserve">Nga 90 </w:t>
      </w:r>
      <w:r w:rsidRPr="00C06F15">
        <w:rPr>
          <w:rFonts w:ascii="StobiSerif Regular" w:hAnsi="StobiSerif Regular"/>
          <w:color w:val="000000" w:themeColor="text1"/>
          <w:lang w:val="sq-AL"/>
        </w:rPr>
        <w:t>posedues</w:t>
      </w:r>
      <w:r w:rsidRPr="00C06F15">
        <w:rPr>
          <w:rFonts w:ascii="StobiSerif Regular" w:hAnsi="StobiSerif Regular"/>
          <w:color w:val="000000" w:themeColor="text1"/>
          <w:lang w:val="sq-AL"/>
        </w:rPr>
        <w:t xml:space="preserve"> nga Komunat dhe Qendrat për Zhvillimin e Rajoneve Planifikuese, 38 komuna ose 42.22% iu përgjigjën pyetësorit me një lidhje të bashkangjitur (</w:t>
      </w:r>
      <w:r w:rsidRPr="00C06F15">
        <w:rPr>
          <w:rFonts w:ascii="StobiSerif Regular" w:hAnsi="StobiSerif Regular"/>
          <w:b/>
          <w:color w:val="000000" w:themeColor="text1"/>
          <w:lang w:val="sq-AL"/>
        </w:rPr>
        <w:t>banner/lidhje Informacion</w:t>
      </w:r>
      <w:r w:rsidRPr="00C06F15">
        <w:rPr>
          <w:rFonts w:ascii="StobiSerif Regular" w:hAnsi="StobiSerif Regular"/>
          <w:b/>
          <w:color w:val="000000" w:themeColor="text1"/>
          <w:lang w:val="sq-AL"/>
        </w:rPr>
        <w:t>e me Karakter</w:t>
      </w:r>
      <w:r w:rsidRPr="00C06F15">
        <w:rPr>
          <w:rFonts w:ascii="StobiSerif Regular" w:hAnsi="StobiSerif Regular"/>
          <w:b/>
          <w:color w:val="000000" w:themeColor="text1"/>
          <w:lang w:val="sq-AL"/>
        </w:rPr>
        <w:t xml:space="preserve"> Publik</w:t>
      </w:r>
      <w:r w:rsidRPr="00C06F15">
        <w:rPr>
          <w:rFonts w:ascii="StobiSerif Regular" w:hAnsi="StobiSerif Regular"/>
          <w:color w:val="000000" w:themeColor="text1"/>
          <w:lang w:val="sq-AL"/>
        </w:rPr>
        <w:t>).</w:t>
      </w:r>
    </w:p>
    <w:p w14:paraId="790B6060" w14:textId="28A2B7E6" w:rsidR="006A0A87" w:rsidRPr="00C06F15" w:rsidRDefault="006A0A87" w:rsidP="006A0A87">
      <w:pPr>
        <w:tabs>
          <w:tab w:val="left" w:pos="4032"/>
        </w:tabs>
        <w:jc w:val="both"/>
        <w:rPr>
          <w:rFonts w:ascii="StobiSerif Regular" w:hAnsi="StobiSerif Regular"/>
          <w:color w:val="000000" w:themeColor="text1"/>
          <w:lang w:val="sq-AL"/>
        </w:rPr>
      </w:pPr>
      <w:r w:rsidRPr="00C06F15">
        <w:rPr>
          <w:rFonts w:ascii="StobiSerif Regular" w:hAnsi="StobiSerif Regular"/>
          <w:color w:val="000000" w:themeColor="text1"/>
          <w:lang w:val="sq-AL"/>
        </w:rPr>
        <w:t xml:space="preserve">Nga 43 posedues në grupin e ndërmarrjeve publike nën juridiksionin e Komunave dhe Qeverisë së </w:t>
      </w:r>
      <w:r w:rsidRPr="00C06F15">
        <w:rPr>
          <w:rFonts w:ascii="StobiSerif Regular" w:hAnsi="StobiSerif Regular"/>
          <w:color w:val="000000" w:themeColor="text1"/>
          <w:lang w:val="sq-AL"/>
        </w:rPr>
        <w:t>RMV</w:t>
      </w:r>
      <w:r w:rsidRPr="00C06F15">
        <w:rPr>
          <w:rFonts w:ascii="StobiSerif Regular" w:hAnsi="StobiSerif Regular"/>
          <w:color w:val="000000" w:themeColor="text1"/>
          <w:lang w:val="sq-AL"/>
        </w:rPr>
        <w:t>, vetëm 28 u përgjigjën me një lidhje të bashkangjitur ose 65.12%.</w:t>
      </w:r>
    </w:p>
    <w:p w14:paraId="64455235" w14:textId="649FDC37" w:rsidR="00901FB2" w:rsidRPr="00C06F15" w:rsidRDefault="006A0A87" w:rsidP="006A0A87">
      <w:pPr>
        <w:tabs>
          <w:tab w:val="left" w:pos="4032"/>
        </w:tabs>
        <w:jc w:val="both"/>
        <w:rPr>
          <w:rFonts w:ascii="StobiSerif Regular" w:hAnsi="StobiSerif Regular"/>
          <w:color w:val="000000" w:themeColor="text1"/>
          <w:lang w:val="sq-AL"/>
        </w:rPr>
      </w:pPr>
      <w:r w:rsidRPr="00C06F15">
        <w:rPr>
          <w:rFonts w:ascii="StobiSerif Regular" w:hAnsi="StobiSerif Regular"/>
          <w:color w:val="000000" w:themeColor="text1"/>
          <w:lang w:val="sq-AL"/>
        </w:rPr>
        <w:t xml:space="preserve">Nga 109 posedues nga Qeveria e </w:t>
      </w:r>
      <w:r w:rsidR="00A66C8F">
        <w:rPr>
          <w:rFonts w:ascii="StobiSerif Regular" w:hAnsi="StobiSerif Regular"/>
          <w:color w:val="000000" w:themeColor="text1"/>
          <w:lang w:val="sq-AL"/>
        </w:rPr>
        <w:t>RMV</w:t>
      </w:r>
      <w:r w:rsidRPr="00C06F15">
        <w:rPr>
          <w:rFonts w:ascii="StobiSerif Regular" w:hAnsi="StobiSerif Regular"/>
          <w:color w:val="000000" w:themeColor="text1"/>
          <w:lang w:val="sq-AL"/>
        </w:rPr>
        <w:t>, ministritë dhe organet, 57 posedues ose 52.29% dorëzuan reagime me një lidhje të bashkangjitur.</w:t>
      </w:r>
      <w:r w:rsidR="00B81F16" w:rsidRPr="00C06F15">
        <w:rPr>
          <w:rFonts w:ascii="StobiSerif Regular" w:hAnsi="StobiSerif Regular"/>
          <w:lang w:val="sq-AL"/>
        </w:rPr>
        <w:br w:type="page"/>
      </w:r>
    </w:p>
    <w:p w14:paraId="4A521B06" w14:textId="42105A46" w:rsidR="000144A3" w:rsidRPr="00C06F15" w:rsidRDefault="006A0A87" w:rsidP="000144A3">
      <w:pPr>
        <w:jc w:val="both"/>
        <w:rPr>
          <w:rFonts w:ascii="StobiSerif Regular" w:hAnsi="StobiSerif Regular"/>
          <w:b/>
          <w:bCs/>
          <w:u w:val="single"/>
          <w:lang w:val="sq-AL"/>
        </w:rPr>
      </w:pPr>
      <w:r w:rsidRPr="00C06F15">
        <w:rPr>
          <w:rFonts w:ascii="StobiSerif Regular" w:hAnsi="StobiSerif Regular"/>
          <w:b/>
          <w:bCs/>
          <w:u w:val="single"/>
          <w:lang w:val="sq-AL"/>
        </w:rPr>
        <w:lastRenderedPageBreak/>
        <w:t>SHTOJCË</w:t>
      </w:r>
      <w:r w:rsidR="000144A3" w:rsidRPr="00C06F15">
        <w:rPr>
          <w:rFonts w:ascii="StobiSerif Regular" w:hAnsi="StobiSerif Regular"/>
          <w:b/>
          <w:bCs/>
          <w:u w:val="single"/>
          <w:lang w:val="sq-AL"/>
        </w:rPr>
        <w:t>:</w:t>
      </w:r>
    </w:p>
    <w:p w14:paraId="4AE380A2" w14:textId="45027AAC" w:rsidR="000144A3" w:rsidRPr="00C06F15" w:rsidRDefault="006A0A87" w:rsidP="000144A3">
      <w:pPr>
        <w:jc w:val="both"/>
        <w:rPr>
          <w:rFonts w:ascii="StobiSerif Regular" w:hAnsi="StobiSerif Regular"/>
          <w:lang w:val="sq-AL"/>
        </w:rPr>
      </w:pPr>
      <w:r w:rsidRPr="00C06F15">
        <w:rPr>
          <w:rFonts w:ascii="StobiSerif Regular" w:hAnsi="StobiSerif Regular"/>
          <w:lang w:val="sq-AL"/>
        </w:rPr>
        <w:t xml:space="preserve">Përveç analizës, si vlerë e shtuar, është bërë një paraqitje grafike e informacionit nga rezultatet e marra sipas kategorive të </w:t>
      </w:r>
      <w:r w:rsidR="00D52F2F">
        <w:rPr>
          <w:rFonts w:ascii="StobiSerif Regular" w:hAnsi="StobiSerif Regular"/>
          <w:lang w:val="sq-AL"/>
        </w:rPr>
        <w:t>poseduesve</w:t>
      </w:r>
      <w:r w:rsidRPr="00C06F15">
        <w:rPr>
          <w:rFonts w:ascii="StobiSerif Regular" w:hAnsi="StobiSerif Regular"/>
          <w:lang w:val="sq-AL"/>
        </w:rPr>
        <w:t>.</w:t>
      </w:r>
    </w:p>
    <w:p w14:paraId="14CA9D52" w14:textId="77777777" w:rsidR="000144A3" w:rsidRPr="00C06F15" w:rsidRDefault="000144A3" w:rsidP="000144A3">
      <w:pPr>
        <w:jc w:val="both"/>
        <w:rPr>
          <w:rFonts w:ascii="StobiSerif Regular" w:hAnsi="StobiSerif Regular"/>
          <w:highlight w:val="yellow"/>
          <w:lang w:val="sq-AL"/>
        </w:rPr>
      </w:pPr>
    </w:p>
    <w:p w14:paraId="3C021DCB" w14:textId="405333D2" w:rsidR="000144A3" w:rsidRPr="00C06F15" w:rsidRDefault="00AF35CE" w:rsidP="000144A3">
      <w:pPr>
        <w:jc w:val="center"/>
        <w:rPr>
          <w:rFonts w:ascii="StobiSerif Regular" w:hAnsi="StobiSerif Regular"/>
          <w:highlight w:val="yellow"/>
          <w:lang w:val="sq-AL"/>
        </w:rPr>
      </w:pPr>
      <w:r>
        <w:rPr>
          <w:noProof/>
          <w:lang w:val="sq-AL" w:eastAsia="sq-AL"/>
        </w:rPr>
        <w:drawing>
          <wp:inline distT="0" distB="0" distL="0" distR="0" wp14:anchorId="52F7D322" wp14:editId="086BA303">
            <wp:extent cx="5074920" cy="2969895"/>
            <wp:effectExtent l="0" t="0" r="1143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902B3E" w14:textId="77777777" w:rsidR="006E2186" w:rsidRPr="00C06F15" w:rsidRDefault="006E2186" w:rsidP="000144A3">
      <w:pPr>
        <w:jc w:val="center"/>
        <w:rPr>
          <w:rFonts w:ascii="StobiSerif Regular" w:hAnsi="StobiSerif Regular"/>
          <w:sz w:val="8"/>
          <w:szCs w:val="8"/>
          <w:highlight w:val="yellow"/>
          <w:lang w:val="sq-AL"/>
        </w:rPr>
      </w:pPr>
    </w:p>
    <w:p w14:paraId="3F80F142" w14:textId="0ED21AC2" w:rsidR="00605BD4" w:rsidRPr="00C06F15" w:rsidRDefault="00605BD4" w:rsidP="00605BD4">
      <w:pPr>
        <w:jc w:val="both"/>
        <w:rPr>
          <w:rFonts w:ascii="StobiSerif Regular" w:hAnsi="StobiSerif Regular"/>
          <w:lang w:val="sq-AL"/>
        </w:rPr>
      </w:pPr>
      <w:r w:rsidRPr="00C06F15">
        <w:rPr>
          <w:rFonts w:ascii="StobiSerif Regular" w:hAnsi="StobiSerif Regular"/>
          <w:lang w:val="sq-AL"/>
        </w:rPr>
        <w:t xml:space="preserve">Analiza e kryqëzuar e rezultateve të vetëvlerësimit tregon dallime të konsiderueshme në nivelin e transparencës midis kategorive të ndryshme të </w:t>
      </w:r>
      <w:r w:rsidRPr="00C06F15">
        <w:rPr>
          <w:rFonts w:ascii="StobiSerif Regular" w:hAnsi="StobiSerif Regular"/>
          <w:lang w:val="sq-AL"/>
        </w:rPr>
        <w:t>poseduesve</w:t>
      </w:r>
      <w:r w:rsidRPr="00C06F15">
        <w:rPr>
          <w:rFonts w:ascii="StobiSerif Regular" w:hAnsi="StobiSerif Regular"/>
          <w:lang w:val="sq-AL"/>
        </w:rPr>
        <w:t xml:space="preserve"> të informacionit. Vetëvlerësimi më i lartë është midis ndërmarrjeve publike nën juridiksionin e komunave dhe Qeverisë së </w:t>
      </w:r>
      <w:r w:rsidRPr="00C06F15">
        <w:rPr>
          <w:rFonts w:ascii="StobiSerif Regular" w:hAnsi="StobiSerif Regular"/>
          <w:lang w:val="sq-AL"/>
        </w:rPr>
        <w:t>RMV</w:t>
      </w:r>
      <w:r w:rsidRPr="00C06F15">
        <w:rPr>
          <w:rFonts w:ascii="StobiSerif Regular" w:hAnsi="StobiSerif Regular"/>
          <w:lang w:val="sq-AL"/>
        </w:rPr>
        <w:t xml:space="preserve"> me 65.12%, ndërsa vetëvlerësimi më i ulët është midis Njësive të Vetëqeverisjes Vendore me 42.22%. Mesatarja e vetëvlerësimit të kryer midis të gjitha kategorive të </w:t>
      </w:r>
      <w:r w:rsidRPr="00C06F15">
        <w:rPr>
          <w:rFonts w:ascii="StobiSerif Regular" w:hAnsi="StobiSerif Regular"/>
          <w:lang w:val="sq-AL"/>
        </w:rPr>
        <w:t>poseduesve</w:t>
      </w:r>
      <w:r w:rsidRPr="00C06F15">
        <w:rPr>
          <w:rFonts w:ascii="StobiSerif Regular" w:hAnsi="StobiSerif Regular"/>
          <w:lang w:val="sq-AL"/>
        </w:rPr>
        <w:t xml:space="preserve"> është 53.21% dhe </w:t>
      </w:r>
      <w:r w:rsidRPr="00C06F15">
        <w:rPr>
          <w:rFonts w:ascii="StobiSerif Regular" w:hAnsi="StobiSerif Regular"/>
          <w:lang w:val="sq-AL"/>
        </w:rPr>
        <w:t>poseduesit</w:t>
      </w:r>
      <w:r w:rsidRPr="00C06F15">
        <w:rPr>
          <w:rFonts w:ascii="StobiSerif Regular" w:hAnsi="StobiSerif Regular"/>
          <w:lang w:val="sq-AL"/>
        </w:rPr>
        <w:t xml:space="preserve"> e kanë përmirësuar vetëvlerësimin e tyre, krahasuar me raportin e vitit të kaluar, por ai është ende brenda kornizës së transparencës mesatare. Qeveria e </w:t>
      </w:r>
      <w:r w:rsidRPr="00C06F15">
        <w:rPr>
          <w:rFonts w:ascii="StobiSerif Regular" w:hAnsi="StobiSerif Regular"/>
          <w:lang w:val="sq-AL"/>
        </w:rPr>
        <w:t>RMV</w:t>
      </w:r>
      <w:r w:rsidRPr="00C06F15">
        <w:rPr>
          <w:rFonts w:ascii="StobiSerif Regular" w:hAnsi="StobiSerif Regular"/>
          <w:lang w:val="sq-AL"/>
        </w:rPr>
        <w:t>, ministritë dhe organet përbërëse, ndryshe nga raporti i fundit kur kishin një nivel të mirë të vetëvlerësimit transparent, këtë herë shënuan një rënie të ndjeshme.</w:t>
      </w:r>
    </w:p>
    <w:p w14:paraId="21F64112" w14:textId="2D961D65" w:rsidR="00B83FBC" w:rsidRPr="00C06F15" w:rsidRDefault="00605BD4" w:rsidP="00605BD4">
      <w:pPr>
        <w:jc w:val="both"/>
        <w:rPr>
          <w:rFonts w:ascii="StobiSerif Regular" w:hAnsi="StobiSerif Regular"/>
          <w:lang w:val="sq-AL"/>
        </w:rPr>
      </w:pPr>
      <w:r w:rsidRPr="00C06F15">
        <w:rPr>
          <w:rFonts w:ascii="StobiSerif Regular" w:hAnsi="StobiSerif Regular"/>
          <w:lang w:val="sq-AL"/>
        </w:rPr>
        <w:t>Ky trend në rritje është inkurajues, por ende lëviz brenda kornizës së nivelit të mesëm të transparencës, që do të thotë se institucionet ende kanë potencial të konsiderueshëm për zhvillimin dhe forcimin e proceseve të vetëvlerësimit. Kjo rënie është veçanërisht e rëndësishme sepse këto janë institucione me përgjegjësinë dhe ndikimin më të madh në nivelin e përgjithshëm të transparencës, gjë që tregon nevojën për masa urgjente për të rivendosur dhe përmirësuar standardet e arritura.</w:t>
      </w:r>
    </w:p>
    <w:p w14:paraId="6E1557DA" w14:textId="77777777" w:rsidR="00C56CE9" w:rsidRPr="00C06F15" w:rsidRDefault="00C56CE9" w:rsidP="00B42D60">
      <w:pPr>
        <w:jc w:val="both"/>
        <w:rPr>
          <w:rFonts w:ascii="StobiSerif Regular" w:hAnsi="StobiSerif Regular"/>
          <w:highlight w:val="green"/>
          <w:lang w:val="sq-AL"/>
        </w:rPr>
      </w:pPr>
    </w:p>
    <w:p w14:paraId="03005A6C" w14:textId="6C2BFB21" w:rsidR="00E93806" w:rsidRPr="00C06F15" w:rsidRDefault="00E93806" w:rsidP="001E38C5">
      <w:pPr>
        <w:jc w:val="center"/>
        <w:rPr>
          <w:rFonts w:ascii="StobiSerif Regular" w:hAnsi="StobiSerif Regular"/>
          <w:highlight w:val="yellow"/>
          <w:lang w:val="sq-AL"/>
        </w:rPr>
      </w:pPr>
    </w:p>
    <w:p w14:paraId="35258DEF" w14:textId="09BA4342" w:rsidR="000144A3" w:rsidRPr="00C06F15" w:rsidRDefault="00AF35CE" w:rsidP="00AF35CE">
      <w:pPr>
        <w:jc w:val="center"/>
        <w:rPr>
          <w:rFonts w:ascii="StobiSerif Regular" w:hAnsi="StobiSerif Regular"/>
          <w:highlight w:val="yellow"/>
          <w:lang w:val="sq-AL"/>
        </w:rPr>
      </w:pPr>
      <w:r>
        <w:rPr>
          <w:noProof/>
          <w:lang w:val="sq-AL" w:eastAsia="sq-AL"/>
        </w:rPr>
        <w:lastRenderedPageBreak/>
        <w:drawing>
          <wp:inline distT="0" distB="0" distL="0" distR="0" wp14:anchorId="49B30228" wp14:editId="5121CD6D">
            <wp:extent cx="4693920" cy="2969895"/>
            <wp:effectExtent l="0" t="0" r="11430" b="19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039E6F" w14:textId="0B142798" w:rsidR="00C06F15" w:rsidRPr="00C06F15" w:rsidRDefault="00C06F15" w:rsidP="00C06F15">
      <w:pPr>
        <w:jc w:val="both"/>
        <w:rPr>
          <w:rFonts w:ascii="StobiSerif Regular" w:hAnsi="StobiSerif Regular"/>
          <w:lang w:val="sq-AL"/>
        </w:rPr>
      </w:pPr>
      <w:r w:rsidRPr="00C06F15">
        <w:rPr>
          <w:rFonts w:ascii="StobiSerif Regular" w:hAnsi="StobiSerif Regular"/>
          <w:lang w:val="sq-AL"/>
        </w:rPr>
        <w:t xml:space="preserve">Të dhënat tregojnë se </w:t>
      </w:r>
      <w:r w:rsidRPr="00C06F15">
        <w:rPr>
          <w:rFonts w:ascii="StobiSerif Regular" w:hAnsi="StobiSerif Regular"/>
          <w:lang w:val="sq-AL"/>
        </w:rPr>
        <w:t>poseduesit</w:t>
      </w:r>
      <w:r w:rsidRPr="00C06F15">
        <w:rPr>
          <w:rFonts w:ascii="StobiSerif Regular" w:hAnsi="StobiSerif Regular"/>
          <w:lang w:val="sq-AL"/>
        </w:rPr>
        <w:t xml:space="preserve"> e informacionit vazhdojnë t'i kushtojnë vëmendjen më të madhe publikimit të informacionit të sistematizuar sipas fushave - një praktikë e aplikuar nga 86.36% e institucioneve. Kjo përqindje e lartë tregon se institucionet e njohin rëndësinë e publikimit të strukturuar dhe tematikisht të organizuar të informacionit, duke mundësuar kështu akses më të lehtë dhe dukshmëri më të mirë për përdoruesit e faqeve të tyre të internetit.</w:t>
      </w:r>
    </w:p>
    <w:p w14:paraId="39AB570F" w14:textId="651D1992" w:rsidR="00C06F15" w:rsidRPr="00C06F15" w:rsidRDefault="00C06F15" w:rsidP="00C06F15">
      <w:pPr>
        <w:jc w:val="both"/>
        <w:rPr>
          <w:rFonts w:ascii="StobiSerif Regular" w:hAnsi="StobiSerif Regular"/>
          <w:lang w:val="sq-AL"/>
        </w:rPr>
      </w:pPr>
      <w:r w:rsidRPr="00C06F15">
        <w:rPr>
          <w:rFonts w:ascii="StobiSerif Regular" w:hAnsi="StobiSerif Regular"/>
          <w:lang w:val="sq-AL"/>
        </w:rPr>
        <w:t>Në vendin e dytë, për sa i përket përfaqësimit, është disponueshmëria e informacionit të publikuar përmes një lidhjeje ose baneri të theksuar qartë "Informacion</w:t>
      </w:r>
      <w:r w:rsidRPr="00C06F15">
        <w:rPr>
          <w:rFonts w:ascii="StobiSerif Regular" w:hAnsi="StobiSerif Regular"/>
          <w:lang w:val="sq-AL"/>
        </w:rPr>
        <w:t>e me karakter</w:t>
      </w:r>
      <w:r w:rsidRPr="00C06F15">
        <w:rPr>
          <w:rFonts w:ascii="StobiSerif Regular" w:hAnsi="StobiSerif Regular"/>
          <w:lang w:val="sq-AL"/>
        </w:rPr>
        <w:t xml:space="preserve"> publik" në faqet e internetit të institucioneve, i cili u ofrua nga 55.79% e </w:t>
      </w:r>
      <w:r w:rsidRPr="00C06F15">
        <w:rPr>
          <w:rFonts w:ascii="StobiSerif Regular" w:hAnsi="StobiSerif Regular"/>
          <w:lang w:val="sq-AL"/>
        </w:rPr>
        <w:t>poseduesve</w:t>
      </w:r>
      <w:r w:rsidRPr="00C06F15">
        <w:rPr>
          <w:rFonts w:ascii="StobiSerif Regular" w:hAnsi="StobiSerif Regular"/>
          <w:lang w:val="sq-AL"/>
        </w:rPr>
        <w:t>. Edhe pse kjo është mbi gjysma e numrit të përgjithshëm të institucioneve, përqindja ende tregon se pothuajse çdo institucion i dytë nuk ka akses të dukshëm dhe të lehtë në informacion, gjë që zvogëlon efektin e tij praktik për kërkuesit e informacionit.</w:t>
      </w:r>
    </w:p>
    <w:p w14:paraId="5D992637" w14:textId="4E81EB7A" w:rsidR="00C06F15" w:rsidRPr="00C06F15" w:rsidRDefault="00C06F15" w:rsidP="00C06F15">
      <w:pPr>
        <w:jc w:val="both"/>
        <w:rPr>
          <w:rFonts w:ascii="StobiSerif Regular" w:hAnsi="StobiSerif Regular"/>
          <w:lang w:val="sq-AL"/>
        </w:rPr>
      </w:pPr>
      <w:r w:rsidRPr="00C06F15">
        <w:rPr>
          <w:rFonts w:ascii="StobiSerif Regular" w:hAnsi="StobiSerif Regular"/>
          <w:lang w:val="sq-AL"/>
        </w:rPr>
        <w:t xml:space="preserve">Nga ana tjetër, segmenti më i dobët është publikimi i kërkesave dhe përgjigjeve të anonimizuara, të cilat janë të rëndësishme për ndërtimin e transparencës dhe besimit, pasi ato u lejojnë qytetarëve të fitojnë njohuri mbi llojin e informacionit të kërkuar dhe mënyrën se si </w:t>
      </w:r>
      <w:r w:rsidRPr="00C06F15">
        <w:rPr>
          <w:rFonts w:ascii="StobiSerif Regular" w:hAnsi="StobiSerif Regular"/>
          <w:lang w:val="sq-AL"/>
        </w:rPr>
        <w:t>poseduesit</w:t>
      </w:r>
      <w:r w:rsidRPr="00C06F15">
        <w:rPr>
          <w:rFonts w:ascii="StobiSerif Regular" w:hAnsi="StobiSerif Regular"/>
          <w:lang w:val="sq-AL"/>
        </w:rPr>
        <w:t xml:space="preserve"> veprojnë mbi të. Ky segment është përkeqësuar më tej: përfaqësimi ka rënë nga 32% në analizën e vitit të kaluar në 27.69% këtë vit. Kjo rënie tregon një mungesë të mundshme të ndërgjegjësimit ose burimeve për publikimin e rregullt të të dhënave të tilla, por edhe një tendencë të mundshme që institucionet ta reduktojnë transparencën në përmbushje formale të detyrimeve ligjore, pa përdorur mekanizma shtesë për llogaridhënie publike. Niveli mesatar i transparencës për këtë grup çështjesh është 56.61%, gjë që e pozicionon atë brenda "nivelit të mesëm të transparencës".</w:t>
      </w:r>
    </w:p>
    <w:p w14:paraId="6E1DFE36" w14:textId="7FB9CAD9" w:rsidR="002D54A9" w:rsidRPr="00C06F15" w:rsidRDefault="00C06F15" w:rsidP="00C06F15">
      <w:pPr>
        <w:jc w:val="both"/>
        <w:rPr>
          <w:rFonts w:ascii="StobiSerif Regular" w:hAnsi="StobiSerif Regular"/>
          <w:lang w:val="sq-AL"/>
        </w:rPr>
      </w:pPr>
      <w:r w:rsidRPr="00C06F15">
        <w:rPr>
          <w:rFonts w:ascii="StobiSerif Regular" w:hAnsi="StobiSerif Regular"/>
          <w:lang w:val="sq-AL"/>
        </w:rPr>
        <w:t>Kjo tregon se, megjithëse ka shembuj pozitivë dhe përparim në segmente të caktuara, një qasje sistemike dhe zbatimi i qëndrueshëm mbeten sfida kritike.</w:t>
      </w:r>
    </w:p>
    <w:p w14:paraId="10B7D32A" w14:textId="77777777" w:rsidR="002D54A9" w:rsidRPr="00C06F15" w:rsidRDefault="002D54A9" w:rsidP="00C56CE9">
      <w:pPr>
        <w:jc w:val="both"/>
        <w:rPr>
          <w:rFonts w:ascii="StobiSerif Regular" w:hAnsi="StobiSerif Regular"/>
          <w:lang w:val="sq-AL"/>
        </w:rPr>
      </w:pPr>
    </w:p>
    <w:p w14:paraId="62171D17" w14:textId="103C944E" w:rsidR="00FE34D0" w:rsidRPr="00C06F15" w:rsidRDefault="00C06F15" w:rsidP="00C56CE9">
      <w:pPr>
        <w:jc w:val="both"/>
        <w:rPr>
          <w:rFonts w:ascii="StobiSerif Regular" w:hAnsi="StobiSerif Regular"/>
          <w:b/>
          <w:bCs/>
          <w:sz w:val="27"/>
          <w:szCs w:val="27"/>
          <w:lang w:val="sq-AL"/>
        </w:rPr>
      </w:pPr>
      <w:r w:rsidRPr="00C06F15">
        <w:rPr>
          <w:rFonts w:ascii="StobiSerif Regular" w:hAnsi="StobiSerif Regular"/>
          <w:b/>
          <w:bCs/>
          <w:sz w:val="27"/>
          <w:szCs w:val="27"/>
          <w:lang w:val="sq-AL"/>
        </w:rPr>
        <w:lastRenderedPageBreak/>
        <w:t>Transparencë proaktive sipas kategorive të poseduesve</w:t>
      </w:r>
    </w:p>
    <w:p w14:paraId="2AD187C8" w14:textId="77777777" w:rsidR="00FE34D0" w:rsidRPr="00C06F15" w:rsidRDefault="00FE34D0" w:rsidP="00C56CE9">
      <w:pPr>
        <w:jc w:val="both"/>
        <w:rPr>
          <w:rFonts w:ascii="StobiSerif Regular" w:hAnsi="StobiSerif Regular"/>
          <w:lang w:val="sq-AL"/>
        </w:rPr>
      </w:pPr>
    </w:p>
    <w:p w14:paraId="3B7BC2A8" w14:textId="77BC2F7B" w:rsidR="000144A3" w:rsidRPr="00C06F15" w:rsidRDefault="00991AA3" w:rsidP="000144A3">
      <w:pPr>
        <w:jc w:val="center"/>
        <w:rPr>
          <w:rFonts w:ascii="StobiSerif Regular" w:hAnsi="StobiSerif Regular"/>
          <w:highlight w:val="yellow"/>
          <w:lang w:val="sq-AL"/>
        </w:rPr>
      </w:pPr>
      <w:r>
        <w:rPr>
          <w:noProof/>
          <w:lang w:val="sq-AL" w:eastAsia="sq-AL"/>
        </w:rPr>
        <w:drawing>
          <wp:inline distT="0" distB="0" distL="0" distR="0" wp14:anchorId="097680C4" wp14:editId="6581D89B">
            <wp:extent cx="4678680" cy="2628900"/>
            <wp:effectExtent l="0" t="0" r="762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E77542" w14:textId="77777777" w:rsidR="000144A3" w:rsidRPr="00C06F15" w:rsidRDefault="000144A3" w:rsidP="000144A3">
      <w:pPr>
        <w:jc w:val="center"/>
        <w:rPr>
          <w:rFonts w:ascii="StobiSerif Regular" w:hAnsi="StobiSerif Regular"/>
          <w:sz w:val="8"/>
          <w:szCs w:val="8"/>
          <w:highlight w:val="yellow"/>
          <w:lang w:val="sq-AL"/>
        </w:rPr>
      </w:pPr>
    </w:p>
    <w:p w14:paraId="4D251E84" w14:textId="433AD3C7" w:rsidR="00C06F15" w:rsidRPr="00C06F15" w:rsidRDefault="00C06F15" w:rsidP="00C06F15">
      <w:pPr>
        <w:jc w:val="both"/>
        <w:rPr>
          <w:rFonts w:ascii="StobiSerif Regular" w:hAnsi="StobiSerif Regular"/>
          <w:lang w:val="sq-AL"/>
        </w:rPr>
      </w:pPr>
      <w:r w:rsidRPr="00C06F15">
        <w:rPr>
          <w:rFonts w:ascii="StobiSerif Regular" w:hAnsi="StobiSerif Regular"/>
          <w:lang w:val="sq-AL"/>
        </w:rPr>
        <w:t xml:space="preserve">Rezultatet e përmbledhura të monitorimit të kryer tregojnë se institucionet tregojnë një nivel mesatar të transparencës proaktive prej 56%. Kjo përqindje, megjithëse një rritje e lehtë krahasuar me monitorimin e mëparshëm, sinjalizon se ka hapësirë ​​të konsiderueshme për përmirësim. Përmirësimi i transparencës proaktive nuk mjafton për të folur për një ndryshim themelor në kulturën e hapjes; përkundrazi, të dhënat tregojnë se institucionet vazhdojnë të përballen me sfida në sigurimin e qëndrueshmërisë dhe sistematikës në zbatimin e mekanizmave të transparencës. Në këtë drejtim, është thelbësore që </w:t>
      </w:r>
      <w:r w:rsidR="00D52F2F">
        <w:rPr>
          <w:rFonts w:ascii="StobiSerif Regular" w:hAnsi="StobiSerif Regular"/>
          <w:lang w:val="sq-AL"/>
        </w:rPr>
        <w:t>poseduesit</w:t>
      </w:r>
      <w:r w:rsidRPr="00C06F15">
        <w:rPr>
          <w:rFonts w:ascii="StobiSerif Regular" w:hAnsi="StobiSerif Regular"/>
          <w:lang w:val="sq-AL"/>
        </w:rPr>
        <w:t xml:space="preserve"> e informacionit jo vetëm të përmbushin formalisht detyrimet e tyre ligjore, por edhe të zhvillojnë standarde të brendshme dhe praktika të koordinuara që do të mundësojnë komunikim të rregullt, të plotë dhe të kuptueshëm me publikun. Konsistenca në publikimin e informacion</w:t>
      </w:r>
      <w:r w:rsidRPr="00C06F15">
        <w:rPr>
          <w:rFonts w:ascii="StobiSerif Regular" w:hAnsi="StobiSerif Regular"/>
          <w:lang w:val="sq-AL"/>
        </w:rPr>
        <w:t>eve me karakter</w:t>
      </w:r>
      <w:r w:rsidRPr="00C06F15">
        <w:rPr>
          <w:rFonts w:ascii="StobiSerif Regular" w:hAnsi="StobiSerif Regular"/>
          <w:lang w:val="sq-AL"/>
        </w:rPr>
        <w:t xml:space="preserve"> publik, por edhe praktikimi i shkëmbimit të të dhënave ndërinstitucionale, janë parakushte të rëndësishme për ndërtimin e besimit dhe forcimin e ndërgjegjësimit tek qytetarët për rëndësinë e llogaridhënies në punën e institucioneve.</w:t>
      </w:r>
    </w:p>
    <w:p w14:paraId="152EE535" w14:textId="34C2777C" w:rsidR="007636C9" w:rsidRPr="00C06F15" w:rsidRDefault="00C06F15" w:rsidP="00C06F15">
      <w:pPr>
        <w:jc w:val="both"/>
        <w:rPr>
          <w:rFonts w:ascii="StobiSerif Regular" w:hAnsi="StobiSerif Regular"/>
          <w:lang w:val="sq-AL"/>
        </w:rPr>
      </w:pPr>
      <w:r w:rsidRPr="00C06F15">
        <w:rPr>
          <w:rFonts w:ascii="StobiSerif Regular" w:hAnsi="StobiSerif Regular"/>
          <w:lang w:val="sq-AL"/>
        </w:rPr>
        <w:t xml:space="preserve">Në lidhje me Qeverinë e </w:t>
      </w:r>
      <w:r w:rsidRPr="00C06F15">
        <w:rPr>
          <w:rFonts w:ascii="StobiSerif Regular" w:hAnsi="StobiSerif Regular"/>
          <w:lang w:val="sq-AL"/>
        </w:rPr>
        <w:t>RMV</w:t>
      </w:r>
      <w:r w:rsidRPr="00C06F15">
        <w:rPr>
          <w:rFonts w:ascii="StobiSerif Regular" w:hAnsi="StobiSerif Regular"/>
          <w:lang w:val="sq-AL"/>
        </w:rPr>
        <w:t xml:space="preserve">, ministritë dhe organet përbërëse, niveli i transparencës dhe llogaridhënies është vlerësuar edhe një herë si transparencë e lartë proaktive, gjë që tregon ruajtjen e praktikës përgjithësisht të mirë në këtë segment të së drejtës për qasje </w:t>
      </w:r>
      <w:r w:rsidRPr="00C06F15">
        <w:rPr>
          <w:rFonts w:ascii="StobiSerif Regular" w:hAnsi="StobiSerif Regular"/>
          <w:lang w:val="sq-AL"/>
        </w:rPr>
        <w:t xml:space="preserve">të lirë </w:t>
      </w:r>
      <w:r w:rsidRPr="00C06F15">
        <w:rPr>
          <w:rFonts w:ascii="StobiSerif Regular" w:hAnsi="StobiSerif Regular"/>
          <w:lang w:val="sq-AL"/>
        </w:rPr>
        <w:t>në informacion</w:t>
      </w:r>
      <w:r w:rsidRPr="00C06F15">
        <w:rPr>
          <w:rFonts w:ascii="StobiSerif Regular" w:hAnsi="StobiSerif Regular"/>
          <w:lang w:val="sq-AL"/>
        </w:rPr>
        <w:t>e me karakter</w:t>
      </w:r>
      <w:r w:rsidRPr="00C06F15">
        <w:rPr>
          <w:rFonts w:ascii="StobiSerif Regular" w:hAnsi="StobiSerif Regular"/>
          <w:lang w:val="sq-AL"/>
        </w:rPr>
        <w:t xml:space="preserve">in publik. Monitorimi tregoi se shumica e këtyre institucioneve arrijnë transparencë shumë të mirë, gjë që është një sinjal pozitiv për gatishmërinë institucionale për t'iu përmbajtur parimeve të transparencës në punën e tyre. Megjithatë, rekomandimi i Agjencisë mbetet që </w:t>
      </w:r>
      <w:r w:rsidR="00D52F2F">
        <w:rPr>
          <w:rFonts w:ascii="StobiSerif Regular" w:hAnsi="StobiSerif Regular"/>
          <w:lang w:val="sq-AL"/>
        </w:rPr>
        <w:t>poseduesit</w:t>
      </w:r>
      <w:r w:rsidRPr="00C06F15">
        <w:rPr>
          <w:rFonts w:ascii="StobiSerif Regular" w:hAnsi="StobiSerif Regular"/>
          <w:lang w:val="sq-AL"/>
        </w:rPr>
        <w:t xml:space="preserve"> duhet të vazhdojnë të respektojnë dhe promovojnë vazhdimisht standardet e transparencës dhe llogaridhënies, sepse vetëm përmes zbatimit të vazhdueshëm dhe proaktiv të këtyre standardeve mund të garantohet që puna e institucioneve do të jetë plotësisht e arritshme dhe e kuptueshme për përdoruesit </w:t>
      </w:r>
      <w:r w:rsidR="00B97543">
        <w:rPr>
          <w:rFonts w:ascii="StobiSerif Regular" w:hAnsi="StobiSerif Regular"/>
          <w:lang w:val="sq-AL"/>
        </w:rPr>
        <w:t>përfundimtar</w:t>
      </w:r>
      <w:r w:rsidRPr="00C06F15">
        <w:rPr>
          <w:rFonts w:ascii="StobiSerif Regular" w:hAnsi="StobiSerif Regular"/>
          <w:lang w:val="sq-AL"/>
        </w:rPr>
        <w:t xml:space="preserve"> - qytetarët dhe kë</w:t>
      </w:r>
      <w:r w:rsidR="00B97543">
        <w:rPr>
          <w:rFonts w:ascii="StobiSerif Regular" w:hAnsi="StobiSerif Regular"/>
          <w:lang w:val="sq-AL"/>
        </w:rPr>
        <w:t>rkuesit e tjerë të informacioneve me karakter</w:t>
      </w:r>
      <w:r w:rsidRPr="00C06F15">
        <w:rPr>
          <w:rFonts w:ascii="StobiSerif Regular" w:hAnsi="StobiSerif Regular"/>
          <w:lang w:val="sq-AL"/>
        </w:rPr>
        <w:t xml:space="preserve"> publik. </w:t>
      </w:r>
      <w:r w:rsidRPr="00C06F15">
        <w:rPr>
          <w:rFonts w:ascii="StobiSerif Regular" w:hAnsi="StobiSerif Regular"/>
          <w:lang w:val="sq-AL"/>
        </w:rPr>
        <w:lastRenderedPageBreak/>
        <w:t xml:space="preserve">Një qasje e tillë jo vetëm që lehtëson </w:t>
      </w:r>
      <w:r w:rsidR="00B97543">
        <w:rPr>
          <w:rFonts w:ascii="StobiSerif Regular" w:hAnsi="StobiSerif Regular"/>
          <w:lang w:val="sq-AL"/>
        </w:rPr>
        <w:t>qasjen</w:t>
      </w:r>
      <w:r w:rsidRPr="00C06F15">
        <w:rPr>
          <w:rFonts w:ascii="StobiSerif Regular" w:hAnsi="StobiSerif Regular"/>
          <w:lang w:val="sq-AL"/>
        </w:rPr>
        <w:t xml:space="preserve"> në informacion</w:t>
      </w:r>
      <w:r w:rsidR="00B97543">
        <w:rPr>
          <w:rFonts w:ascii="StobiSerif Regular" w:hAnsi="StobiSerif Regular"/>
          <w:lang w:val="sq-AL"/>
        </w:rPr>
        <w:t>e</w:t>
      </w:r>
      <w:r w:rsidRPr="00C06F15">
        <w:rPr>
          <w:rFonts w:ascii="StobiSerif Regular" w:hAnsi="StobiSerif Regular"/>
          <w:lang w:val="sq-AL"/>
        </w:rPr>
        <w:t>, por edhe forcon kapacitetin demokratik të shoqërisë, duke ndërtuar një kulturë besimi dhe përgjegjësie të ndërsjellë.</w:t>
      </w:r>
    </w:p>
    <w:p w14:paraId="601C0B9D" w14:textId="598F9DE9" w:rsidR="007636C9" w:rsidRPr="00C06F15" w:rsidRDefault="00C06F15" w:rsidP="0097643C">
      <w:pPr>
        <w:jc w:val="both"/>
        <w:rPr>
          <w:rFonts w:ascii="StobiSerif Regular" w:hAnsi="StobiSerif Regular" w:cs="Calibri Light"/>
          <w:b/>
          <w:bCs/>
          <w:sz w:val="27"/>
          <w:szCs w:val="27"/>
          <w:lang w:val="sq-AL"/>
        </w:rPr>
      </w:pPr>
      <w:r w:rsidRPr="00C06F15">
        <w:rPr>
          <w:rFonts w:ascii="StobiSerif Regular" w:hAnsi="StobiSerif Regular" w:cs="Calibri Light"/>
          <w:b/>
          <w:bCs/>
          <w:sz w:val="27"/>
          <w:szCs w:val="27"/>
          <w:lang w:val="sq-AL"/>
        </w:rPr>
        <w:t>AKTIVITETE TË AGJENCISË NË PERIUDHËN JANAR - QERSHOR</w:t>
      </w:r>
      <w:r w:rsidR="007636C9" w:rsidRPr="00C06F15">
        <w:rPr>
          <w:rFonts w:ascii="StobiSerif Regular" w:hAnsi="StobiSerif Regular" w:cs="Calibri Light"/>
          <w:b/>
          <w:bCs/>
          <w:sz w:val="27"/>
          <w:szCs w:val="27"/>
          <w:lang w:val="sq-AL"/>
        </w:rPr>
        <w:t>:</w:t>
      </w:r>
    </w:p>
    <w:p w14:paraId="5D2BF58B" w14:textId="14182C71" w:rsidR="00C06F15" w:rsidRPr="00C06F15" w:rsidRDefault="00C06F15" w:rsidP="00C06F15">
      <w:pPr>
        <w:jc w:val="both"/>
        <w:rPr>
          <w:rFonts w:ascii="StobiSerif Regular" w:hAnsi="StobiSerif Regular" w:cs="Calibri Light"/>
          <w:lang w:val="sq-AL"/>
        </w:rPr>
      </w:pPr>
      <w:r w:rsidRPr="00C06F15">
        <w:rPr>
          <w:rFonts w:ascii="StobiSerif Regular" w:hAnsi="StobiSerif Regular" w:cs="Calibri Light"/>
          <w:lang w:val="sq-AL"/>
        </w:rPr>
        <w:t xml:space="preserve">Me qëllim rritjen e transparencës, por edhe të punës së institucioneve në lidhje me </w:t>
      </w:r>
      <w:r w:rsidR="00CC603A">
        <w:rPr>
          <w:rFonts w:ascii="StobiSerif Regular" w:hAnsi="StobiSerif Regular" w:cs="Calibri Light"/>
          <w:lang w:val="sq-AL"/>
        </w:rPr>
        <w:t>qasjen</w:t>
      </w:r>
      <w:r w:rsidRPr="00C06F15">
        <w:rPr>
          <w:rFonts w:ascii="StobiSerif Regular" w:hAnsi="StobiSerif Regular" w:cs="Calibri Light"/>
          <w:lang w:val="sq-AL"/>
        </w:rPr>
        <w:t xml:space="preserve"> në informacion</w:t>
      </w:r>
      <w:r w:rsidR="00CC603A">
        <w:rPr>
          <w:rFonts w:ascii="StobiSerif Regular" w:hAnsi="StobiSerif Regular" w:cs="Calibri Light"/>
          <w:lang w:val="sq-AL"/>
        </w:rPr>
        <w:t>e me karakter</w:t>
      </w:r>
      <w:r w:rsidRPr="00C06F15">
        <w:rPr>
          <w:rFonts w:ascii="StobiSerif Regular" w:hAnsi="StobiSerif Regular" w:cs="Calibri Light"/>
          <w:lang w:val="sq-AL"/>
        </w:rPr>
        <w:t xml:space="preserve"> publik, Agjencia përgatiti Analiza të veprimeve të Agjencisë mbi ankesat e pranuara në periudhën nga 1 janari deri më 30 qershor 2025, me theks të veçantë në heshtjen e administratës, Qasje e lirë në informacion</w:t>
      </w:r>
      <w:r w:rsidR="00CC603A">
        <w:rPr>
          <w:rFonts w:ascii="StobiSerif Regular" w:hAnsi="StobiSerif Regular" w:cs="Calibri Light"/>
          <w:lang w:val="sq-AL"/>
        </w:rPr>
        <w:t>e me karakter</w:t>
      </w:r>
      <w:r w:rsidRPr="00C06F15">
        <w:rPr>
          <w:rFonts w:ascii="StobiSerif Regular" w:hAnsi="StobiSerif Regular" w:cs="Calibri Light"/>
          <w:lang w:val="sq-AL"/>
        </w:rPr>
        <w:t xml:space="preserve"> publik në vendet e Ballkanit Perëndimor: Heshtja e administratës si pengesë sistemike për transparencën dhe Analizë krahasuese e transparencës aktive për vitet 2021, 2023 dhe 2025 të ndërmarrjeve publike nën juridiksionin e komunave. Ato janë publikuar në faqen e internetit të Agjencisë: </w:t>
      </w:r>
      <w:hyperlink r:id="rId13" w:history="1">
        <w:r w:rsidR="00CC603A" w:rsidRPr="006B3AC5">
          <w:rPr>
            <w:rStyle w:val="Hyperlink"/>
            <w:rFonts w:ascii="StobiSerif Regular" w:hAnsi="StobiSerif Regular" w:cs="Calibri Light"/>
            <w:lang w:val="sq-AL"/>
          </w:rPr>
          <w:t>https://aspi.mk/analizi/</w:t>
        </w:r>
      </w:hyperlink>
      <w:r w:rsidR="00CC603A">
        <w:rPr>
          <w:rFonts w:ascii="StobiSerif Regular" w:hAnsi="StobiSerif Regular" w:cs="Calibri Light"/>
          <w:lang w:val="sq-AL"/>
        </w:rPr>
        <w:t xml:space="preserve"> </w:t>
      </w:r>
    </w:p>
    <w:p w14:paraId="50740D84" w14:textId="77777777" w:rsidR="00CC603A" w:rsidRDefault="00C06F15" w:rsidP="00C06F15">
      <w:pPr>
        <w:jc w:val="both"/>
        <w:rPr>
          <w:rFonts w:ascii="StobiSerif Regular" w:hAnsi="StobiSerif Regular" w:cs="Calibri Light"/>
          <w:lang w:val="sq-AL"/>
        </w:rPr>
      </w:pPr>
      <w:r w:rsidRPr="00C06F15">
        <w:rPr>
          <w:rFonts w:ascii="StobiSerif Regular" w:hAnsi="StobiSerif Regular" w:cs="Calibri Light"/>
          <w:lang w:val="sq-AL"/>
        </w:rPr>
        <w:t xml:space="preserve">Gjithashtu, u krye monitorim në faqet e internetit të </w:t>
      </w:r>
      <w:r w:rsidR="00CC603A">
        <w:rPr>
          <w:rFonts w:ascii="StobiSerif Regular" w:hAnsi="StobiSerif Regular" w:cs="Calibri Light"/>
          <w:lang w:val="sq-AL"/>
        </w:rPr>
        <w:t>poseduesve</w:t>
      </w:r>
      <w:r w:rsidRPr="00C06F15">
        <w:rPr>
          <w:rFonts w:ascii="StobiSerif Regular" w:hAnsi="StobiSerif Regular" w:cs="Calibri Light"/>
          <w:lang w:val="sq-AL"/>
        </w:rPr>
        <w:t xml:space="preserve"> të informacionit nga ndërmarrjet publike nën juridiksionin e komunave dhe Qeverisë së </w:t>
      </w:r>
      <w:r w:rsidR="00CC603A">
        <w:rPr>
          <w:rFonts w:ascii="StobiSerif Regular" w:hAnsi="StobiSerif Regular" w:cs="Calibri Light"/>
          <w:lang w:val="sq-AL"/>
        </w:rPr>
        <w:t>RMV</w:t>
      </w:r>
      <w:r w:rsidRPr="00C06F15">
        <w:rPr>
          <w:rFonts w:ascii="StobiSerif Regular" w:hAnsi="StobiSerif Regular" w:cs="Calibri Light"/>
          <w:lang w:val="sq-AL"/>
        </w:rPr>
        <w:t xml:space="preserve"> për vitin 2025, të institucioneve shtetërore dhe të komunave dhe qendrave për zhvillimin e rajoneve planifikuese. Raportet prej tyre janë publikuar në faqen e internetit të Agjencisë, </w:t>
      </w:r>
      <w:hyperlink r:id="rId14" w:history="1">
        <w:r w:rsidR="00CC603A" w:rsidRPr="006B3AC5">
          <w:rPr>
            <w:rStyle w:val="Hyperlink"/>
            <w:rFonts w:ascii="StobiSerif Regular" w:hAnsi="StobiSerif Regular" w:cs="Calibri Light"/>
            <w:lang w:val="sq-AL"/>
          </w:rPr>
          <w:t>https://aspi.mk/izvestai/</w:t>
        </w:r>
      </w:hyperlink>
      <w:r w:rsidR="00CC603A">
        <w:rPr>
          <w:rFonts w:ascii="StobiSerif Regular" w:hAnsi="StobiSerif Regular" w:cs="Calibri Light"/>
          <w:lang w:val="sq-AL"/>
        </w:rPr>
        <w:t xml:space="preserve"> </w:t>
      </w:r>
      <w:r w:rsidRPr="00C06F15">
        <w:rPr>
          <w:rFonts w:ascii="StobiSerif Regular" w:hAnsi="StobiSerif Regular" w:cs="Calibri Light"/>
          <w:lang w:val="sq-AL"/>
        </w:rPr>
        <w:t xml:space="preserve">dhe u dorëzohen </w:t>
      </w:r>
      <w:r w:rsidR="00CC603A">
        <w:rPr>
          <w:rFonts w:ascii="StobiSerif Regular" w:hAnsi="StobiSerif Regular" w:cs="Calibri Light"/>
          <w:lang w:val="sq-AL"/>
        </w:rPr>
        <w:t>poseduesve</w:t>
      </w:r>
      <w:r w:rsidRPr="00C06F15">
        <w:rPr>
          <w:rFonts w:ascii="StobiSerif Regular" w:hAnsi="StobiSerif Regular" w:cs="Calibri Light"/>
          <w:lang w:val="sq-AL"/>
        </w:rPr>
        <w:t xml:space="preserve"> me rezultatet e fituara, për njohjen e tyre dhe përmirësimin e faqeve të internetit në aspektin e transparencës aktive. Në këtë periudhë raportimi, Agjencia pati aktivitete si në nivel vendas ashtu edhe ndërkombëtar. Nën organizimin e zyrës së Këshillit të Evropës në Shkup, u mbajt një tryezë e rrumbullakët me temë: "Analiza e jurisprudencës së Gjykatës Administrative (2019-2023) dhe ndikimi i Konventës së Tromsø-s në transparencën e institucioneve", si pjesë e projektit "Mbrojtja e lirisë së shprehjes dhe lirisë së medias në Maqedoninë e Veriut (PRO-FREX)", i cili është pjesë e programit të përbashkët të Bashkimit Evropian dhe Këshillit të Evropës "Instrumenti Horizontal për Ballkanin Perëndimor dhe Turqinë 2023-2026" (Instrumenti Horizontal III). Në tryezë u prezantuan gjetjet e Analizës së Jurisprudencës së Gjykatës Administrative në lidhje me Ligjin për Qasje në Informacion Publik (2019-2023), i cili u përgatit në bashkëpunim me Agjencinë për Mbrojtjen e të Drejtës për Qasje të Lirë në Informacion Publik. Analiza është publikuar në faqen e internetit: </w:t>
      </w:r>
    </w:p>
    <w:p w14:paraId="394B4730" w14:textId="02ABD2B6" w:rsidR="008E1658" w:rsidRPr="00C06F15" w:rsidRDefault="00CC603A" w:rsidP="00C06F15">
      <w:pPr>
        <w:jc w:val="both"/>
        <w:rPr>
          <w:rFonts w:ascii="StobiSerif Regular" w:hAnsi="StobiSerif Regular" w:cs="Calibri Light"/>
          <w:lang w:val="sq-AL"/>
        </w:rPr>
      </w:pPr>
      <w:hyperlink r:id="rId15" w:history="1">
        <w:r w:rsidRPr="006B3AC5">
          <w:rPr>
            <w:rStyle w:val="Hyperlink"/>
            <w:rFonts w:ascii="StobiSerif Regular" w:hAnsi="StobiSerif Regular" w:cs="Calibri Light"/>
            <w:lang w:val="sq-AL"/>
          </w:rPr>
          <w:t>https://aspi.mk/wp-content/uploads/2025/02/анализа-на-судската-пракса-на-управниот-суд-со-законот-за-слободен-пристап-до-информациите-од-jaвен-карактер.pdf</w:t>
        </w:r>
      </w:hyperlink>
      <w:r>
        <w:rPr>
          <w:rFonts w:ascii="StobiSerif Regular" w:hAnsi="StobiSerif Regular" w:cs="Calibri Light"/>
          <w:lang w:val="sq-AL"/>
        </w:rPr>
        <w:t xml:space="preserve"> </w:t>
      </w:r>
    </w:p>
    <w:p w14:paraId="77E0406F" w14:textId="12CE8305" w:rsidR="00CC603A" w:rsidRPr="00CC603A" w:rsidRDefault="00CC603A" w:rsidP="00CC603A">
      <w:pPr>
        <w:jc w:val="both"/>
        <w:rPr>
          <w:rFonts w:ascii="StobiSerif Regular" w:hAnsi="StobiSerif Regular" w:cs="Calibri Light"/>
          <w:lang w:val="sq-AL"/>
        </w:rPr>
      </w:pPr>
      <w:r w:rsidRPr="00CC603A">
        <w:rPr>
          <w:rFonts w:ascii="StobiSerif Regular" w:hAnsi="StobiSerif Regular" w:cs="Calibri Light"/>
          <w:lang w:val="sq-AL"/>
        </w:rPr>
        <w:t>Ka filluar zbatimi i projektit Twinning Light "Mbështetja e Qasjes së Lirë në Informacion</w:t>
      </w:r>
      <w:r>
        <w:rPr>
          <w:rFonts w:ascii="StobiSerif Regular" w:hAnsi="StobiSerif Regular" w:cs="Calibri Light"/>
          <w:lang w:val="sq-AL"/>
        </w:rPr>
        <w:t>e</w:t>
      </w:r>
      <w:r w:rsidRPr="00CC603A">
        <w:rPr>
          <w:rFonts w:ascii="StobiSerif Regular" w:hAnsi="StobiSerif Regular" w:cs="Calibri Light"/>
          <w:lang w:val="sq-AL"/>
        </w:rPr>
        <w:t xml:space="preserve"> - Duke u Ngritur Së Bashku" (14.05.2025 - 18.04.2026), të cilin Agjencia do ta zbatojë në bashkëpunim me partnerë nga Fondacioni Gjerman për Bashkëpunim Ligjor Ndërkombëtar (IRZ) dhe me mbështetjen financiare të Delegacionit të Bashkimit Evropian në Republikën e Maqedonisë së Veriut. Ky projekt përfaqëson një hap të rëndësishëm drejt përmirësimit të kapaciteteve institucionale dhe forcimit të sistemit për qasje në informacion</w:t>
      </w:r>
      <w:r>
        <w:rPr>
          <w:rFonts w:ascii="StobiSerif Regular" w:hAnsi="StobiSerif Regular" w:cs="Calibri Light"/>
          <w:lang w:val="sq-AL"/>
        </w:rPr>
        <w:t>e me karakter</w:t>
      </w:r>
      <w:r w:rsidRPr="00CC603A">
        <w:rPr>
          <w:rFonts w:ascii="StobiSerif Regular" w:hAnsi="StobiSerif Regular" w:cs="Calibri Light"/>
          <w:lang w:val="sq-AL"/>
        </w:rPr>
        <w:t xml:space="preserve"> publik.</w:t>
      </w:r>
    </w:p>
    <w:p w14:paraId="5E330F8E" w14:textId="4461225A" w:rsidR="006E1EBA" w:rsidRPr="00C06F15" w:rsidRDefault="00CC603A" w:rsidP="00CC603A">
      <w:pPr>
        <w:jc w:val="both"/>
        <w:rPr>
          <w:rFonts w:ascii="StobiSerif Regular" w:hAnsi="StobiSerif Regular" w:cs="Calibri Light"/>
          <w:lang w:val="sq-AL"/>
        </w:rPr>
      </w:pPr>
      <w:r w:rsidRPr="00CC603A">
        <w:rPr>
          <w:rFonts w:ascii="StobiSerif Regular" w:hAnsi="StobiSerif Regular" w:cs="Calibri Light"/>
          <w:lang w:val="sq-AL"/>
        </w:rPr>
        <w:t>Agjencia, në bashkëpunim me Institutin Demokratik Kombëtar, i cili zbaton Projektin "Komunitete me Integritet", dhe i mbështetur nga Qeveritë e Zvicrës dhe Suedisë, organizoi një seminar kushtuar përmirësimit të zbatimit të Ligjit për Qasje të Lirë në Informacion</w:t>
      </w:r>
      <w:r>
        <w:rPr>
          <w:rFonts w:ascii="StobiSerif Regular" w:hAnsi="StobiSerif Regular" w:cs="Calibri Light"/>
          <w:lang w:val="sq-AL"/>
        </w:rPr>
        <w:t>e me Karakter</w:t>
      </w:r>
      <w:r w:rsidRPr="00CC603A">
        <w:rPr>
          <w:rFonts w:ascii="StobiSerif Regular" w:hAnsi="StobiSerif Regular" w:cs="Calibri Light"/>
          <w:lang w:val="sq-AL"/>
        </w:rPr>
        <w:t xml:space="preserve"> </w:t>
      </w:r>
      <w:r w:rsidRPr="00CC603A">
        <w:rPr>
          <w:rFonts w:ascii="StobiSerif Regular" w:hAnsi="StobiSerif Regular" w:cs="Calibri Light"/>
          <w:lang w:val="sq-AL"/>
        </w:rPr>
        <w:lastRenderedPageBreak/>
        <w:t>Publik. Zyrtarët dhe kryetarët e komunave: Manastir, Bogovinë, Gazi Babë, Kumanovë, Strumicë dhe Shtip, të cilat janë pjesë e projektit, me ndërveprim dhe pjesëmarrje aktive përmes shembujve praktikë nga puna e përditshme në lidhje me qasjen e lirë në informacione</w:t>
      </w:r>
      <w:r>
        <w:rPr>
          <w:rFonts w:ascii="StobiSerif Regular" w:hAnsi="StobiSerif Regular" w:cs="Calibri Light"/>
          <w:lang w:val="sq-AL"/>
        </w:rPr>
        <w:t xml:space="preserve"> me karakter</w:t>
      </w:r>
      <w:r w:rsidRPr="00CC603A">
        <w:rPr>
          <w:rFonts w:ascii="StobiSerif Regular" w:hAnsi="StobiSerif Regular" w:cs="Calibri Light"/>
          <w:lang w:val="sq-AL"/>
        </w:rPr>
        <w:t xml:space="preserve"> publik, përmirësuan njohuritë e tyre për legjislacionin kombëtar dhe standardet ndërkombëtare dhe theksuan se qasja në informacione është një mjet kyç për rritjen e transparencës, inkurajimin e bashkëpunimit, si dhe përfshirjen aktive të qytetarëve në proceset lokale.</w:t>
      </w:r>
    </w:p>
    <w:p w14:paraId="55D2BF28" w14:textId="7B23E6BB" w:rsidR="00CC603A" w:rsidRDefault="00CC603A" w:rsidP="000144A3">
      <w:pPr>
        <w:jc w:val="both"/>
        <w:rPr>
          <w:rFonts w:ascii="StobiSerif Regular" w:hAnsi="StobiSerif Regular" w:cs="Calibri Light"/>
          <w:lang w:val="sq-AL"/>
        </w:rPr>
      </w:pPr>
      <w:r w:rsidRPr="00CC603A">
        <w:rPr>
          <w:rFonts w:ascii="StobiSerif Regular" w:hAnsi="StobiSerif Regular" w:cs="Calibri Light"/>
          <w:lang w:val="sq-AL"/>
        </w:rPr>
        <w:t xml:space="preserve">Në Konferencën Ndërkombëtare të Komisionerëve të Informacionit (ICIC 2025), të mbajtur nga 23 deri më 25 qershor 2025 në Berlin, Republika Federale e Gjermanisë, u themelua zyrtarisht Rrjeti i ri Evropian për Transparencë dhe të Drejtën e Informacionit (ENTRI), anëtar aktiv i të cilit është Agjencia. Në periudhën e ardhshme trevjeçare, rrjeti do të kryesohet nga Komisioneri Federal Gjerman për Mbrojtjen e të Dhënave dhe Lirinë e Informacionit (BfDI), dhe u zgjodh një bord ekzekutiv dhe u miratua Karta e Rrjetit Evropian për Transparencë dhe të Drejtën e Informacionit. Agjencia konfirmon angazhimin e vendit për të promovuar transparencën dhe respektimin e vazhdueshëm të së drejtës së publikut për të </w:t>
      </w:r>
      <w:r>
        <w:rPr>
          <w:rFonts w:ascii="StobiSerif Regular" w:hAnsi="StobiSerif Regular" w:cs="Calibri Light"/>
          <w:lang w:val="sq-AL"/>
        </w:rPr>
        <w:t xml:space="preserve">patur qasje të lirë në </w:t>
      </w:r>
      <w:r w:rsidRPr="00CC603A">
        <w:rPr>
          <w:rFonts w:ascii="StobiSerif Regular" w:hAnsi="StobiSerif Regular" w:cs="Calibri Light"/>
          <w:lang w:val="sq-AL"/>
        </w:rPr>
        <w:t>informacion</w:t>
      </w:r>
      <w:r>
        <w:rPr>
          <w:rFonts w:ascii="StobiSerif Regular" w:hAnsi="StobiSerif Regular" w:cs="Calibri Light"/>
          <w:lang w:val="sq-AL"/>
        </w:rPr>
        <w:t>e me karakter</w:t>
      </w:r>
      <w:r w:rsidRPr="00CC603A">
        <w:rPr>
          <w:rFonts w:ascii="StobiSerif Regular" w:hAnsi="StobiSerif Regular" w:cs="Calibri Light"/>
          <w:lang w:val="sq-AL"/>
        </w:rPr>
        <w:t xml:space="preserve"> publik. Përmes pjesëmarrjes së saj aktive, Maqedonia e Veriut bëhet pjesë e iniciativës së re evropiane që synon promovimin e bashkëpunimit rajonal dhe ndërkufitar, forcimin e transparencës dhe forcimin e mekanizmave të llogaridhënies së institucioneve publike. </w:t>
      </w:r>
    </w:p>
    <w:p w14:paraId="6DE12F36" w14:textId="1AE29B58" w:rsidR="00CC603A" w:rsidRDefault="00CC603A" w:rsidP="000144A3">
      <w:pPr>
        <w:jc w:val="both"/>
        <w:rPr>
          <w:rFonts w:ascii="StobiSerif Regular" w:hAnsi="StobiSerif Regular" w:cs="Calibri Light"/>
          <w:lang w:val="sq-AL"/>
        </w:rPr>
      </w:pPr>
      <w:r w:rsidRPr="00CC603A">
        <w:rPr>
          <w:rFonts w:ascii="StobiSerif Regular" w:hAnsi="StobiSerif Regular" w:cs="Calibri Light"/>
          <w:lang w:val="sq-AL"/>
        </w:rPr>
        <w:t>I organizuar nga Rrjeti Ballkanik i Gazetarisë Investigative (BIRN), ngjarja online "Gjendja e Qasjes së Lirë në Informacion</w:t>
      </w:r>
      <w:r>
        <w:rPr>
          <w:rFonts w:ascii="StobiSerif Regular" w:hAnsi="StobiSerif Regular" w:cs="Calibri Light"/>
          <w:lang w:val="sq-AL"/>
        </w:rPr>
        <w:t>e</w:t>
      </w:r>
      <w:r w:rsidRPr="00CC603A">
        <w:rPr>
          <w:rFonts w:ascii="StobiSerif Regular" w:hAnsi="StobiSerif Regular" w:cs="Calibri Light"/>
          <w:lang w:val="sq-AL"/>
        </w:rPr>
        <w:t xml:space="preserve"> në Ballkanin Perëndimor - Një Përmbledhje për Vitin 2024" u mbajt më 30 qershor 2025. Ngjarja u mbështet nga Agjencia Austriake e Zhvillimit, dhe në të mori pjesë edhe Drejtoresha e Agjencisë, Pl</w:t>
      </w:r>
      <w:r>
        <w:rPr>
          <w:rFonts w:ascii="StobiSerif Regular" w:hAnsi="StobiSerif Regular" w:cs="Calibri Light"/>
          <w:lang w:val="sq-AL"/>
        </w:rPr>
        <w:t>lamenka Bojç</w:t>
      </w:r>
      <w:r w:rsidRPr="00CC603A">
        <w:rPr>
          <w:rFonts w:ascii="StobiSerif Regular" w:hAnsi="StobiSerif Regular" w:cs="Calibri Light"/>
          <w:lang w:val="sq-AL"/>
        </w:rPr>
        <w:t>eva. Gazetarët investigativë që e përdorin këtë të drejtë në punën e tyre, si dhe përfaqësuesit e institucioneve përkatëse nga të gjashtë vendet e rajonit që janë pjesë e këtij rrjeti, ndanë dhe shkëmbyen përvojat e tyre. U ndanë përvoja praktike në lidhje me procedurën e ankesës, mekanizmat mbikëqyrës dhe zbatimin e të drejtës për qasje të lirë në informacion</w:t>
      </w:r>
      <w:r>
        <w:rPr>
          <w:rFonts w:ascii="StobiSerif Regular" w:hAnsi="StobiSerif Regular" w:cs="Calibri Light"/>
          <w:lang w:val="sq-AL"/>
        </w:rPr>
        <w:t>e me karakter</w:t>
      </w:r>
      <w:r w:rsidRPr="00CC603A">
        <w:rPr>
          <w:rFonts w:ascii="StobiSerif Regular" w:hAnsi="StobiSerif Regular" w:cs="Calibri Light"/>
          <w:lang w:val="sq-AL"/>
        </w:rPr>
        <w:t xml:space="preserve"> publik. Raporti i BIRN thekson se Maqedonia e Veriut, për të dytin vit radhazi, tregon rezultatet më të mira midis vendeve të rajonit në zbatimin e qasjes së lirë në informacion</w:t>
      </w:r>
      <w:r>
        <w:rPr>
          <w:rFonts w:ascii="StobiSerif Regular" w:hAnsi="StobiSerif Regular" w:cs="Calibri Light"/>
          <w:lang w:val="sq-AL"/>
        </w:rPr>
        <w:t>e me karakter</w:t>
      </w:r>
      <w:r w:rsidRPr="00CC603A">
        <w:rPr>
          <w:rFonts w:ascii="StobiSerif Regular" w:hAnsi="StobiSerif Regular" w:cs="Calibri Light"/>
          <w:lang w:val="sq-AL"/>
        </w:rPr>
        <w:t xml:space="preserve"> publik. </w:t>
      </w:r>
    </w:p>
    <w:p w14:paraId="4FDDD983" w14:textId="4314F9DE" w:rsidR="000144A3" w:rsidRPr="00C06F15" w:rsidRDefault="00CC603A" w:rsidP="000144A3">
      <w:pPr>
        <w:jc w:val="both"/>
        <w:rPr>
          <w:rFonts w:ascii="StobiSerif Regular" w:hAnsi="StobiSerif Regular" w:cs="Calibri Light"/>
          <w:lang w:val="sq-AL"/>
        </w:rPr>
      </w:pPr>
      <w:r w:rsidRPr="00CC603A">
        <w:rPr>
          <w:rFonts w:ascii="StobiSerif Regular" w:hAnsi="StobiSerif Regular" w:cs="Calibri Light"/>
          <w:lang w:val="sq-AL"/>
        </w:rPr>
        <w:t>Agjencia do të vazhdojë të punojë për një zbatim më efikas të qasjes në informacion</w:t>
      </w:r>
      <w:r>
        <w:rPr>
          <w:rFonts w:ascii="StobiSerif Regular" w:hAnsi="StobiSerif Regular" w:cs="Calibri Light"/>
          <w:lang w:val="sq-AL"/>
        </w:rPr>
        <w:t>e me karakter</w:t>
      </w:r>
      <w:r w:rsidRPr="00CC603A">
        <w:rPr>
          <w:rFonts w:ascii="StobiSerif Regular" w:hAnsi="StobiSerif Regular" w:cs="Calibri Light"/>
          <w:lang w:val="sq-AL"/>
        </w:rPr>
        <w:t xml:space="preserve"> publik, në bashkëpunim si me </w:t>
      </w:r>
      <w:r>
        <w:rPr>
          <w:rFonts w:ascii="StobiSerif Regular" w:hAnsi="StobiSerif Regular" w:cs="Calibri Light"/>
          <w:lang w:val="sq-AL"/>
        </w:rPr>
        <w:t>poseduesit</w:t>
      </w:r>
      <w:r w:rsidRPr="00CC603A">
        <w:rPr>
          <w:rFonts w:ascii="StobiSerif Regular" w:hAnsi="StobiSerif Regular" w:cs="Calibri Light"/>
          <w:lang w:val="sq-AL"/>
        </w:rPr>
        <w:t xml:space="preserve"> ashtu edhe me kërkuesit e informacionit. Ndihmon qytetarët të kuptojnë më mirë funksionimin e institucioneve, të drejtat dhe detyrimet e tyre, mënyrën se si mund të ndikojnë në vendimmarrje që reflektohet në jetën dhe punën e tyre të përditshme, si dhe te </w:t>
      </w:r>
      <w:r>
        <w:rPr>
          <w:rFonts w:ascii="StobiSerif Regular" w:hAnsi="StobiSerif Regular" w:cs="Calibri Light"/>
          <w:lang w:val="sq-AL"/>
        </w:rPr>
        <w:t>poseduesit</w:t>
      </w:r>
      <w:r w:rsidRPr="00CC603A">
        <w:rPr>
          <w:rFonts w:ascii="StobiSerif Regular" w:hAnsi="StobiSerif Regular" w:cs="Calibri Light"/>
          <w:lang w:val="sq-AL"/>
        </w:rPr>
        <w:t xml:space="preserve"> e tyre, sepse ata do ta menaxhojnë informacionin që kanë në mënyrë më efikase dhe më të mirë.</w:t>
      </w:r>
      <w:r w:rsidR="000144A3" w:rsidRPr="00C06F15">
        <w:rPr>
          <w:rFonts w:ascii="StobiSerif Regular" w:hAnsi="StobiSerif Regular" w:cs="Calibri Light"/>
          <w:lang w:val="sq-AL"/>
        </w:rPr>
        <w:t xml:space="preserve"> </w:t>
      </w:r>
    </w:p>
    <w:p w14:paraId="425237FE" w14:textId="49862C7D" w:rsidR="000144A3" w:rsidRPr="00C06F15" w:rsidRDefault="00CC603A" w:rsidP="00393A4C">
      <w:pPr>
        <w:spacing w:after="0"/>
        <w:jc w:val="both"/>
        <w:rPr>
          <w:rFonts w:ascii="StobiSerif Regular" w:hAnsi="StobiSerif Regular"/>
          <w:sz w:val="20"/>
          <w:szCs w:val="20"/>
          <w:u w:val="single"/>
          <w:lang w:val="sq-AL"/>
        </w:rPr>
      </w:pPr>
      <w:r>
        <w:rPr>
          <w:rFonts w:ascii="StobiSerif Regular" w:hAnsi="StobiSerif Regular"/>
          <w:sz w:val="20"/>
          <w:szCs w:val="20"/>
          <w:u w:val="single"/>
          <w:lang w:val="sq-AL"/>
        </w:rPr>
        <w:t>Punuan</w:t>
      </w:r>
      <w:r w:rsidR="000144A3" w:rsidRPr="00C06F15">
        <w:rPr>
          <w:rFonts w:ascii="StobiSerif Regular" w:hAnsi="StobiSerif Regular"/>
          <w:sz w:val="20"/>
          <w:szCs w:val="20"/>
          <w:u w:val="single"/>
          <w:lang w:val="sq-AL"/>
        </w:rPr>
        <w:t>:</w:t>
      </w:r>
    </w:p>
    <w:p w14:paraId="673AE69C" w14:textId="4AC0777D" w:rsidR="000144A3" w:rsidRPr="00C06F15" w:rsidRDefault="00CC603A" w:rsidP="00393A4C">
      <w:pPr>
        <w:spacing w:after="0"/>
        <w:jc w:val="both"/>
        <w:rPr>
          <w:rFonts w:ascii="StobiSerif Regular" w:hAnsi="StobiSerif Regular"/>
          <w:sz w:val="20"/>
          <w:szCs w:val="20"/>
          <w:lang w:val="sq-AL"/>
        </w:rPr>
      </w:pPr>
      <w:r>
        <w:rPr>
          <w:rFonts w:ascii="StobiSerif Regular" w:hAnsi="StobiSerif Regular"/>
          <w:sz w:val="20"/>
          <w:szCs w:val="20"/>
          <w:lang w:val="sq-AL"/>
        </w:rPr>
        <w:t>Mellani Ibraimi</w:t>
      </w:r>
    </w:p>
    <w:p w14:paraId="33B52E5C" w14:textId="1AB8EB19" w:rsidR="0040402E" w:rsidRDefault="000144A3" w:rsidP="00393A4C">
      <w:pPr>
        <w:spacing w:after="0"/>
        <w:jc w:val="both"/>
        <w:rPr>
          <w:rFonts w:ascii="StobiSerif Regular" w:hAnsi="StobiSerif Regular"/>
          <w:sz w:val="20"/>
          <w:szCs w:val="20"/>
          <w:lang w:val="sq-AL"/>
        </w:rPr>
      </w:pPr>
      <w:r w:rsidRPr="00C06F15">
        <w:rPr>
          <w:rFonts w:ascii="StobiSerif Regular" w:hAnsi="StobiSerif Regular"/>
          <w:sz w:val="20"/>
          <w:szCs w:val="20"/>
          <w:lang w:val="sq-AL"/>
        </w:rPr>
        <w:t>Оливер Серафимовски</w:t>
      </w:r>
    </w:p>
    <w:p w14:paraId="431FF154" w14:textId="601A2B01" w:rsidR="00CC603A" w:rsidRDefault="00CC603A" w:rsidP="00393A4C">
      <w:pPr>
        <w:spacing w:after="0"/>
        <w:jc w:val="both"/>
        <w:rPr>
          <w:rFonts w:ascii="StobiSerif Regular" w:hAnsi="StobiSerif Regular"/>
          <w:sz w:val="20"/>
          <w:szCs w:val="20"/>
          <w:u w:val="single"/>
          <w:lang w:val="sq-AL"/>
        </w:rPr>
      </w:pPr>
      <w:r>
        <w:rPr>
          <w:rFonts w:ascii="StobiSerif Regular" w:hAnsi="StobiSerif Regular"/>
          <w:sz w:val="20"/>
          <w:szCs w:val="20"/>
          <w:u w:val="single"/>
          <w:lang w:val="sq-AL"/>
        </w:rPr>
        <w:t>Përktheu:</w:t>
      </w:r>
    </w:p>
    <w:p w14:paraId="66F0BB4C" w14:textId="2473424A" w:rsidR="00CC603A" w:rsidRPr="00CC603A" w:rsidRDefault="00CC603A" w:rsidP="00393A4C">
      <w:pPr>
        <w:spacing w:after="0"/>
        <w:jc w:val="both"/>
        <w:rPr>
          <w:u w:val="single"/>
          <w:lang w:val="sq-AL"/>
        </w:rPr>
      </w:pPr>
      <w:r>
        <w:rPr>
          <w:rFonts w:ascii="StobiSerif Regular" w:hAnsi="StobiSerif Regular"/>
          <w:sz w:val="20"/>
          <w:szCs w:val="20"/>
          <w:u w:val="single"/>
          <w:lang w:val="sq-AL"/>
        </w:rPr>
        <w:t>m-r Valon Mustafa</w:t>
      </w:r>
    </w:p>
    <w:sectPr w:rsidR="00CC603A" w:rsidRPr="00CC603A" w:rsidSect="00B81F16">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D5D50" w14:textId="77777777" w:rsidR="00015D88" w:rsidRDefault="00015D88" w:rsidP="00B81F16">
      <w:pPr>
        <w:spacing w:after="0" w:line="240" w:lineRule="auto"/>
      </w:pPr>
      <w:r>
        <w:separator/>
      </w:r>
    </w:p>
  </w:endnote>
  <w:endnote w:type="continuationSeparator" w:id="0">
    <w:p w14:paraId="15BCAF29" w14:textId="77777777" w:rsidR="00015D88" w:rsidRDefault="00015D88" w:rsidP="00B8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81F16" w14:paraId="1BFC8DC9" w14:textId="77777777">
      <w:trPr>
        <w:trHeight w:hRule="exact" w:val="115"/>
        <w:jc w:val="center"/>
      </w:trPr>
      <w:tc>
        <w:tcPr>
          <w:tcW w:w="4686" w:type="dxa"/>
          <w:shd w:val="clear" w:color="auto" w:fill="4472C4" w:themeFill="accent1"/>
          <w:tcMar>
            <w:top w:w="0" w:type="dxa"/>
            <w:bottom w:w="0" w:type="dxa"/>
          </w:tcMar>
        </w:tcPr>
        <w:p w14:paraId="6BA1E875" w14:textId="77777777" w:rsidR="00B81F16" w:rsidRDefault="00B81F16">
          <w:pPr>
            <w:pStyle w:val="Header"/>
            <w:rPr>
              <w:caps/>
              <w:sz w:val="18"/>
            </w:rPr>
          </w:pPr>
        </w:p>
      </w:tc>
      <w:tc>
        <w:tcPr>
          <w:tcW w:w="4674" w:type="dxa"/>
          <w:shd w:val="clear" w:color="auto" w:fill="4472C4" w:themeFill="accent1"/>
          <w:tcMar>
            <w:top w:w="0" w:type="dxa"/>
            <w:bottom w:w="0" w:type="dxa"/>
          </w:tcMar>
        </w:tcPr>
        <w:p w14:paraId="3D5FB702" w14:textId="77777777" w:rsidR="00B81F16" w:rsidRDefault="00B81F16">
          <w:pPr>
            <w:pStyle w:val="Header"/>
            <w:jc w:val="right"/>
            <w:rPr>
              <w:caps/>
              <w:sz w:val="18"/>
            </w:rPr>
          </w:pPr>
        </w:p>
      </w:tc>
    </w:tr>
    <w:tr w:rsidR="00B81F16" w14:paraId="5025F5E7" w14:textId="77777777">
      <w:trPr>
        <w:jc w:val="center"/>
      </w:trPr>
      <w:sdt>
        <w:sdtPr>
          <w:rPr>
            <w:caps/>
            <w:color w:val="808080" w:themeColor="background1" w:themeShade="80"/>
            <w:sz w:val="18"/>
            <w:szCs w:val="18"/>
          </w:rPr>
          <w:alias w:val="Author"/>
          <w:tag w:val=""/>
          <w:id w:val="1534151868"/>
          <w:placeholder>
            <w:docPart w:val="A9A08C9736644F5CA1A22C35D2F9073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2D82B7D" w14:textId="59FBCE5D" w:rsidR="00B81F16" w:rsidRDefault="0047740F" w:rsidP="0047740F">
              <w:pPr>
                <w:pStyle w:val="Footer"/>
                <w:rPr>
                  <w:caps/>
                  <w:color w:val="808080" w:themeColor="background1" w:themeShade="80"/>
                  <w:sz w:val="18"/>
                  <w:szCs w:val="18"/>
                </w:rPr>
              </w:pPr>
              <w:r>
                <w:rPr>
                  <w:caps/>
                  <w:color w:val="808080" w:themeColor="background1" w:themeShade="80"/>
                  <w:sz w:val="18"/>
                  <w:szCs w:val="18"/>
                  <w:lang w:val="sq-AL"/>
                </w:rPr>
                <w:t>AGJENCIA PËR MBROJTJEN E TË DREJTËS PËR QASJE TË LIRË NË INFORMACIONE ME KARAKTER PUBLIK</w:t>
              </w:r>
            </w:p>
          </w:tc>
        </w:sdtContent>
      </w:sdt>
      <w:tc>
        <w:tcPr>
          <w:tcW w:w="4674" w:type="dxa"/>
          <w:shd w:val="clear" w:color="auto" w:fill="auto"/>
          <w:vAlign w:val="center"/>
        </w:tcPr>
        <w:p w14:paraId="7A094195" w14:textId="7D60FD3A" w:rsidR="00B81F16" w:rsidRDefault="00B81F1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C113F">
            <w:rPr>
              <w:caps/>
              <w:noProof/>
              <w:color w:val="808080" w:themeColor="background1" w:themeShade="80"/>
              <w:sz w:val="18"/>
              <w:szCs w:val="18"/>
            </w:rPr>
            <w:t>11</w:t>
          </w:r>
          <w:r>
            <w:rPr>
              <w:caps/>
              <w:noProof/>
              <w:color w:val="808080" w:themeColor="background1" w:themeShade="80"/>
              <w:sz w:val="18"/>
              <w:szCs w:val="18"/>
            </w:rPr>
            <w:fldChar w:fldCharType="end"/>
          </w:r>
        </w:p>
      </w:tc>
    </w:tr>
  </w:tbl>
  <w:p w14:paraId="422DACEF" w14:textId="77777777" w:rsidR="00B81F16" w:rsidRDefault="00B81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DF355" w14:textId="77777777" w:rsidR="00015D88" w:rsidRDefault="00015D88" w:rsidP="00B81F16">
      <w:pPr>
        <w:spacing w:after="0" w:line="240" w:lineRule="auto"/>
      </w:pPr>
      <w:r>
        <w:separator/>
      </w:r>
    </w:p>
  </w:footnote>
  <w:footnote w:type="continuationSeparator" w:id="0">
    <w:p w14:paraId="2D035128" w14:textId="77777777" w:rsidR="00015D88" w:rsidRDefault="00015D88" w:rsidP="00B81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41865"/>
    <w:multiLevelType w:val="hybridMultilevel"/>
    <w:tmpl w:val="3A4CC9DE"/>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1D"/>
    <w:rsid w:val="000144A3"/>
    <w:rsid w:val="00015D88"/>
    <w:rsid w:val="00037768"/>
    <w:rsid w:val="00063173"/>
    <w:rsid w:val="000A2857"/>
    <w:rsid w:val="000A5FE2"/>
    <w:rsid w:val="000B5493"/>
    <w:rsid w:val="000C7DC5"/>
    <w:rsid w:val="000D5848"/>
    <w:rsid w:val="000F0C23"/>
    <w:rsid w:val="00132E88"/>
    <w:rsid w:val="0015036E"/>
    <w:rsid w:val="001638B1"/>
    <w:rsid w:val="001720E9"/>
    <w:rsid w:val="001B24EF"/>
    <w:rsid w:val="001E38C5"/>
    <w:rsid w:val="00220DBE"/>
    <w:rsid w:val="002473C0"/>
    <w:rsid w:val="002564FF"/>
    <w:rsid w:val="00266205"/>
    <w:rsid w:val="00277021"/>
    <w:rsid w:val="0028685F"/>
    <w:rsid w:val="002871D6"/>
    <w:rsid w:val="002875A9"/>
    <w:rsid w:val="002D54A9"/>
    <w:rsid w:val="002F2A5B"/>
    <w:rsid w:val="002F3B2E"/>
    <w:rsid w:val="00303047"/>
    <w:rsid w:val="00330CED"/>
    <w:rsid w:val="00340592"/>
    <w:rsid w:val="00393A4C"/>
    <w:rsid w:val="003D4A93"/>
    <w:rsid w:val="0040402E"/>
    <w:rsid w:val="00425EBA"/>
    <w:rsid w:val="00442684"/>
    <w:rsid w:val="0047740F"/>
    <w:rsid w:val="00517B02"/>
    <w:rsid w:val="00527399"/>
    <w:rsid w:val="0054497F"/>
    <w:rsid w:val="00556918"/>
    <w:rsid w:val="005572C9"/>
    <w:rsid w:val="00563035"/>
    <w:rsid w:val="0059355B"/>
    <w:rsid w:val="005A358A"/>
    <w:rsid w:val="005B5473"/>
    <w:rsid w:val="005C6CB1"/>
    <w:rsid w:val="005D5EE3"/>
    <w:rsid w:val="005E0886"/>
    <w:rsid w:val="00605BD4"/>
    <w:rsid w:val="00610AAB"/>
    <w:rsid w:val="00614397"/>
    <w:rsid w:val="00615ED7"/>
    <w:rsid w:val="00647C65"/>
    <w:rsid w:val="006535BD"/>
    <w:rsid w:val="00661912"/>
    <w:rsid w:val="006669EB"/>
    <w:rsid w:val="006965D3"/>
    <w:rsid w:val="006A0A87"/>
    <w:rsid w:val="006A5E45"/>
    <w:rsid w:val="006C02BF"/>
    <w:rsid w:val="006C113F"/>
    <w:rsid w:val="006C5BE0"/>
    <w:rsid w:val="006D5C85"/>
    <w:rsid w:val="006E1EBA"/>
    <w:rsid w:val="006E2186"/>
    <w:rsid w:val="006F0425"/>
    <w:rsid w:val="006F32DA"/>
    <w:rsid w:val="007257F9"/>
    <w:rsid w:val="007636C9"/>
    <w:rsid w:val="0077036E"/>
    <w:rsid w:val="007824F4"/>
    <w:rsid w:val="00783330"/>
    <w:rsid w:val="00783F4B"/>
    <w:rsid w:val="00787536"/>
    <w:rsid w:val="007B5074"/>
    <w:rsid w:val="00801A89"/>
    <w:rsid w:val="00814C2E"/>
    <w:rsid w:val="00830B4C"/>
    <w:rsid w:val="00835EE2"/>
    <w:rsid w:val="008454F0"/>
    <w:rsid w:val="0086500E"/>
    <w:rsid w:val="00883932"/>
    <w:rsid w:val="008A678E"/>
    <w:rsid w:val="008E1658"/>
    <w:rsid w:val="008E3E74"/>
    <w:rsid w:val="00901FB2"/>
    <w:rsid w:val="0092012F"/>
    <w:rsid w:val="009267FB"/>
    <w:rsid w:val="00945673"/>
    <w:rsid w:val="00964099"/>
    <w:rsid w:val="0097643C"/>
    <w:rsid w:val="00986EBD"/>
    <w:rsid w:val="00991AA3"/>
    <w:rsid w:val="009D64F6"/>
    <w:rsid w:val="009E2956"/>
    <w:rsid w:val="009E76C7"/>
    <w:rsid w:val="00A04B60"/>
    <w:rsid w:val="00A35916"/>
    <w:rsid w:val="00A54654"/>
    <w:rsid w:val="00A608F8"/>
    <w:rsid w:val="00A66C8F"/>
    <w:rsid w:val="00A73411"/>
    <w:rsid w:val="00A92C7B"/>
    <w:rsid w:val="00AB1916"/>
    <w:rsid w:val="00AF1921"/>
    <w:rsid w:val="00AF35CE"/>
    <w:rsid w:val="00B20926"/>
    <w:rsid w:val="00B36DFF"/>
    <w:rsid w:val="00B42D60"/>
    <w:rsid w:val="00B81F16"/>
    <w:rsid w:val="00B83FBC"/>
    <w:rsid w:val="00B97543"/>
    <w:rsid w:val="00BB4604"/>
    <w:rsid w:val="00BC4714"/>
    <w:rsid w:val="00BD376A"/>
    <w:rsid w:val="00C04111"/>
    <w:rsid w:val="00C06F15"/>
    <w:rsid w:val="00C25F5D"/>
    <w:rsid w:val="00C32085"/>
    <w:rsid w:val="00C34171"/>
    <w:rsid w:val="00C56CE9"/>
    <w:rsid w:val="00C60697"/>
    <w:rsid w:val="00C61C77"/>
    <w:rsid w:val="00C670E5"/>
    <w:rsid w:val="00C977F7"/>
    <w:rsid w:val="00CA64B5"/>
    <w:rsid w:val="00CA653A"/>
    <w:rsid w:val="00CB01A4"/>
    <w:rsid w:val="00CC5F5B"/>
    <w:rsid w:val="00CC603A"/>
    <w:rsid w:val="00CF1CAF"/>
    <w:rsid w:val="00D05D23"/>
    <w:rsid w:val="00D14592"/>
    <w:rsid w:val="00D2041D"/>
    <w:rsid w:val="00D2208A"/>
    <w:rsid w:val="00D325DD"/>
    <w:rsid w:val="00D42A3A"/>
    <w:rsid w:val="00D52F2F"/>
    <w:rsid w:val="00D76A01"/>
    <w:rsid w:val="00DC180C"/>
    <w:rsid w:val="00DE7AF2"/>
    <w:rsid w:val="00E17FB0"/>
    <w:rsid w:val="00E35C32"/>
    <w:rsid w:val="00E85B9A"/>
    <w:rsid w:val="00E868D6"/>
    <w:rsid w:val="00E925DE"/>
    <w:rsid w:val="00E93806"/>
    <w:rsid w:val="00F2704B"/>
    <w:rsid w:val="00F33C56"/>
    <w:rsid w:val="00F42C6C"/>
    <w:rsid w:val="00F447DA"/>
    <w:rsid w:val="00F808B0"/>
    <w:rsid w:val="00FC054E"/>
    <w:rsid w:val="00FC1CD4"/>
    <w:rsid w:val="00FD07FE"/>
    <w:rsid w:val="00FE34D0"/>
    <w:rsid w:val="00FF0476"/>
    <w:rsid w:val="00FF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2401B"/>
  <w15:chartTrackingRefBased/>
  <w15:docId w15:val="{9210426C-CA30-41F8-AF03-3922CC78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tobiSerif Regular" w:eastAsiaTheme="minorHAnsi" w:hAnsi="StobiSerif Regular" w:cstheme="majorHAns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41D"/>
    <w:pPr>
      <w:spacing w:after="160" w:line="259" w:lineRule="auto"/>
      <w:jc w:val="left"/>
    </w:pPr>
    <w:rPr>
      <w:rFonts w:ascii="Calibri" w:eastAsia="Calibri" w:hAnsi="Calibri" w:cs="Times New Roman"/>
      <w:lang w:val="mk-MK"/>
    </w:rPr>
  </w:style>
  <w:style w:type="paragraph" w:styleId="Heading1">
    <w:name w:val="heading 1"/>
    <w:basedOn w:val="Normal"/>
    <w:next w:val="Normal"/>
    <w:link w:val="Heading1Char"/>
    <w:uiPriority w:val="9"/>
    <w:qFormat/>
    <w:rsid w:val="00D204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04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041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04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041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2041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041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041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041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4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04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041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041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2041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204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04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04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04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04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4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4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041D"/>
    <w:pPr>
      <w:spacing w:before="160"/>
      <w:jc w:val="center"/>
    </w:pPr>
    <w:rPr>
      <w:i/>
      <w:iCs/>
      <w:color w:val="404040" w:themeColor="text1" w:themeTint="BF"/>
    </w:rPr>
  </w:style>
  <w:style w:type="character" w:customStyle="1" w:styleId="QuoteChar">
    <w:name w:val="Quote Char"/>
    <w:basedOn w:val="DefaultParagraphFont"/>
    <w:link w:val="Quote"/>
    <w:uiPriority w:val="29"/>
    <w:rsid w:val="00D2041D"/>
    <w:rPr>
      <w:i/>
      <w:iCs/>
      <w:color w:val="404040" w:themeColor="text1" w:themeTint="BF"/>
    </w:rPr>
  </w:style>
  <w:style w:type="paragraph" w:styleId="ListParagraph">
    <w:name w:val="List Paragraph"/>
    <w:basedOn w:val="Normal"/>
    <w:uiPriority w:val="34"/>
    <w:qFormat/>
    <w:rsid w:val="00D2041D"/>
    <w:pPr>
      <w:ind w:left="720"/>
      <w:contextualSpacing/>
    </w:pPr>
  </w:style>
  <w:style w:type="character" w:styleId="IntenseEmphasis">
    <w:name w:val="Intense Emphasis"/>
    <w:basedOn w:val="DefaultParagraphFont"/>
    <w:uiPriority w:val="21"/>
    <w:qFormat/>
    <w:rsid w:val="00D2041D"/>
    <w:rPr>
      <w:i/>
      <w:iCs/>
      <w:color w:val="2F5496" w:themeColor="accent1" w:themeShade="BF"/>
    </w:rPr>
  </w:style>
  <w:style w:type="paragraph" w:styleId="IntenseQuote">
    <w:name w:val="Intense Quote"/>
    <w:basedOn w:val="Normal"/>
    <w:next w:val="Normal"/>
    <w:link w:val="IntenseQuoteChar"/>
    <w:uiPriority w:val="30"/>
    <w:qFormat/>
    <w:rsid w:val="00D20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041D"/>
    <w:rPr>
      <w:i/>
      <w:iCs/>
      <w:color w:val="2F5496" w:themeColor="accent1" w:themeShade="BF"/>
    </w:rPr>
  </w:style>
  <w:style w:type="character" w:styleId="IntenseReference">
    <w:name w:val="Intense Reference"/>
    <w:basedOn w:val="DefaultParagraphFont"/>
    <w:uiPriority w:val="32"/>
    <w:qFormat/>
    <w:rsid w:val="00D2041D"/>
    <w:rPr>
      <w:b/>
      <w:bCs/>
      <w:smallCaps/>
      <w:color w:val="2F5496" w:themeColor="accent1" w:themeShade="BF"/>
      <w:spacing w:val="5"/>
    </w:rPr>
  </w:style>
  <w:style w:type="character" w:styleId="Hyperlink">
    <w:name w:val="Hyperlink"/>
    <w:basedOn w:val="DefaultParagraphFont"/>
    <w:uiPriority w:val="99"/>
    <w:unhideWhenUsed/>
    <w:rsid w:val="000144A3"/>
    <w:rPr>
      <w:color w:val="0563C1" w:themeColor="hyperlink"/>
      <w:u w:val="single"/>
    </w:rPr>
  </w:style>
  <w:style w:type="table" w:styleId="TableGrid">
    <w:name w:val="Table Grid"/>
    <w:basedOn w:val="TableNormal"/>
    <w:uiPriority w:val="39"/>
    <w:rsid w:val="000144A3"/>
    <w:pPr>
      <w:jc w:val="left"/>
    </w:pPr>
    <w:rPr>
      <w:rFonts w:asciiTheme="minorHAnsi" w:hAnsiTheme="minorHAnsi" w:cstheme="minorBidi"/>
      <w:sz w:val="22"/>
      <w:szCs w:val="22"/>
      <w:lang w:val="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1658"/>
    <w:rPr>
      <w:color w:val="605E5C"/>
      <w:shd w:val="clear" w:color="auto" w:fill="E1DFDD"/>
    </w:rPr>
  </w:style>
  <w:style w:type="paragraph" w:styleId="Header">
    <w:name w:val="header"/>
    <w:basedOn w:val="Normal"/>
    <w:link w:val="HeaderChar"/>
    <w:uiPriority w:val="99"/>
    <w:unhideWhenUsed/>
    <w:rsid w:val="00B81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F16"/>
    <w:rPr>
      <w:rFonts w:ascii="Calibri" w:eastAsia="Calibri" w:hAnsi="Calibri" w:cs="Times New Roman"/>
      <w:lang w:val="mk-MK"/>
    </w:rPr>
  </w:style>
  <w:style w:type="paragraph" w:styleId="Footer">
    <w:name w:val="footer"/>
    <w:basedOn w:val="Normal"/>
    <w:link w:val="FooterChar"/>
    <w:uiPriority w:val="99"/>
    <w:unhideWhenUsed/>
    <w:rsid w:val="00B81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F16"/>
    <w:rPr>
      <w:rFonts w:ascii="Calibri" w:eastAsia="Calibri" w:hAnsi="Calibri" w:cs="Times New Roman"/>
      <w:lang w:val="mk-MK"/>
    </w:rPr>
  </w:style>
  <w:style w:type="character" w:styleId="PlaceholderText">
    <w:name w:val="Placeholder Text"/>
    <w:basedOn w:val="DefaultParagraphFont"/>
    <w:uiPriority w:val="99"/>
    <w:semiHidden/>
    <w:rsid w:val="00B81F16"/>
    <w:rPr>
      <w:color w:val="808080"/>
    </w:rPr>
  </w:style>
  <w:style w:type="paragraph" w:styleId="BalloonText">
    <w:name w:val="Balloon Text"/>
    <w:basedOn w:val="Normal"/>
    <w:link w:val="BalloonTextChar"/>
    <w:uiPriority w:val="99"/>
    <w:semiHidden/>
    <w:unhideWhenUsed/>
    <w:rsid w:val="00E86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8D6"/>
    <w:rPr>
      <w:rFonts w:ascii="Segoe UI" w:eastAsia="Calibri" w:hAnsi="Segoe UI" w:cs="Segoe UI"/>
      <w:sz w:val="18"/>
      <w:szCs w:val="18"/>
      <w:lang w:val="mk-MK"/>
    </w:rPr>
  </w:style>
  <w:style w:type="character" w:styleId="CommentReference">
    <w:name w:val="annotation reference"/>
    <w:basedOn w:val="DefaultParagraphFont"/>
    <w:uiPriority w:val="99"/>
    <w:semiHidden/>
    <w:unhideWhenUsed/>
    <w:rsid w:val="00CB01A4"/>
    <w:rPr>
      <w:sz w:val="16"/>
      <w:szCs w:val="16"/>
    </w:rPr>
  </w:style>
  <w:style w:type="paragraph" w:styleId="CommentText">
    <w:name w:val="annotation text"/>
    <w:basedOn w:val="Normal"/>
    <w:link w:val="CommentTextChar"/>
    <w:uiPriority w:val="99"/>
    <w:semiHidden/>
    <w:unhideWhenUsed/>
    <w:rsid w:val="00CB01A4"/>
    <w:pPr>
      <w:spacing w:line="240" w:lineRule="auto"/>
    </w:pPr>
    <w:rPr>
      <w:sz w:val="20"/>
      <w:szCs w:val="20"/>
    </w:rPr>
  </w:style>
  <w:style w:type="character" w:customStyle="1" w:styleId="CommentTextChar">
    <w:name w:val="Comment Text Char"/>
    <w:basedOn w:val="DefaultParagraphFont"/>
    <w:link w:val="CommentText"/>
    <w:uiPriority w:val="99"/>
    <w:semiHidden/>
    <w:rsid w:val="00CB01A4"/>
    <w:rPr>
      <w:rFonts w:ascii="Calibri" w:eastAsia="Calibri" w:hAnsi="Calibri" w:cs="Times New Roman"/>
      <w:sz w:val="20"/>
      <w:szCs w:val="20"/>
      <w:lang w:val="mk-MK"/>
    </w:rPr>
  </w:style>
  <w:style w:type="paragraph" w:styleId="CommentSubject">
    <w:name w:val="annotation subject"/>
    <w:basedOn w:val="CommentText"/>
    <w:next w:val="CommentText"/>
    <w:link w:val="CommentSubjectChar"/>
    <w:uiPriority w:val="99"/>
    <w:semiHidden/>
    <w:unhideWhenUsed/>
    <w:rsid w:val="00CB01A4"/>
    <w:rPr>
      <w:b/>
      <w:bCs/>
    </w:rPr>
  </w:style>
  <w:style w:type="character" w:customStyle="1" w:styleId="CommentSubjectChar">
    <w:name w:val="Comment Subject Char"/>
    <w:basedOn w:val="CommentTextChar"/>
    <w:link w:val="CommentSubject"/>
    <w:uiPriority w:val="99"/>
    <w:semiHidden/>
    <w:rsid w:val="00CB01A4"/>
    <w:rPr>
      <w:rFonts w:ascii="Calibri" w:eastAsia="Calibri" w:hAnsi="Calibri" w:cs="Times New Roman"/>
      <w:b/>
      <w:bCs/>
      <w:sz w:val="20"/>
      <w:szCs w:val="20"/>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spi.mk/analizi/"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yperlink" Target="https://aspi.mk/wp-content/uploads/2025/02/&#1072;&#1085;&#1072;&#1083;&#1080;&#1079;&#1072;-&#1085;&#1072;-&#1089;&#1091;&#1076;&#1089;&#1082;&#1072;&#1090;&#1072;-&#1087;&#1088;&#1072;&#1082;&#1089;&#1072;-&#1085;&#1072;-&#1091;&#1087;&#1088;&#1072;&#1074;&#1085;&#1080;&#1086;&#1090;-&#1089;&#1091;&#1076;-&#1089;&#1086;-&#1079;&#1072;&#1082;&#1086;&#1085;&#1086;&#1090;-&#1079;&#1072;-&#1089;&#1083;&#1086;&#1073;&#1086;&#1076;&#1077;&#1085;-&#1087;&#1088;&#1080;&#1089;&#1090;&#1072;&#1087;-&#1076;&#1086;-&#1080;&#1085;&#1092;&#1086;&#1088;&#1084;&#1072;&#1094;&#1080;&#1080;&#1090;&#1077;-&#1086;&#1076;-ja&#1074;&#1077;&#1085;-&#1082;&#1072;&#1088;&#1072;&#1082;&#1090;&#1077;&#1088;.pdf"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pi.mk/&#1083;&#1080;&#1089;&#1090;&#1072;-&#1085;&#1072;-&#1080;&#1084;&#1072;&#1090;&#1077;&#1083;&#1080;-&#1085;&#1072;-&#1080;&#1085;&#1092;&#1086;&#1088;&#1084;&#1072;&#1094;&#1080;&#1080;/" TargetMode="External"/><Relationship Id="rId14" Type="http://schemas.openxmlformats.org/officeDocument/2006/relationships/hyperlink" Target="https://aspi.mk/izvesta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hart%202%20in%20Microsoft%20Word"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Bahnschrift SemiLight SemiConde" panose="020B0502040204020203" pitchFamily="34" charset="0"/>
                <a:ea typeface="+mn-ea"/>
                <a:cs typeface="+mn-cs"/>
              </a:defRPr>
            </a:pPr>
            <a:r>
              <a:rPr lang="sq-AL" sz="1400" b="0">
                <a:latin typeface="Bahnschrift SemiLight SemiConde" panose="020B0502040204020203" pitchFamily="34" charset="0"/>
              </a:rPr>
              <a:t>Mesatarja sipas pyetësorëve të dorëzuar</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Bahnschrift SemiLight SemiConde" panose="020B0502040204020203" pitchFamily="34" charset="0"/>
              <a:ea typeface="+mn-ea"/>
              <a:cs typeface="+mn-cs"/>
            </a:defRPr>
          </a:pPr>
          <a:endParaRPr lang="sq-AL"/>
        </a:p>
      </c:txPr>
    </c:title>
    <c:autoTitleDeleted val="0"/>
    <c:plotArea>
      <c:layout/>
      <c:barChart>
        <c:barDir val="bar"/>
        <c:grouping val="clustered"/>
        <c:varyColors val="0"/>
        <c:ser>
          <c:idx val="0"/>
          <c:order val="0"/>
          <c:tx>
            <c:strRef>
              <c:f>'[Chart in Microsoft Word]доставени прашалници'!$A$3</c:f>
              <c:strCache>
                <c:ptCount val="1"/>
                <c:pt idx="0">
                  <c:v>Komuna dhe Qendra për zhvillimin e rajoneve planifikuese</c:v>
                </c:pt>
              </c:strCache>
            </c:strRef>
          </c:tx>
          <c:spPr>
            <a:solidFill>
              <a:schemeClr val="accent2">
                <a:alpha val="85000"/>
              </a:schemeClr>
            </a:solidFill>
            <a:ln w="9525" cap="flat" cmpd="sng" algn="ctr">
              <a:solidFill>
                <a:schemeClr val="lt1">
                  <a:alpha val="50000"/>
                </a:schemeClr>
              </a:solidFill>
              <a:round/>
            </a:ln>
            <a:effectLst/>
            <a:scene3d>
              <a:camera prst="orthographicFront"/>
              <a:lightRig rig="threePt" dir="t"/>
            </a:scene3d>
            <a:sp3d>
              <a:bevelT w="114300" prst="hardEdge"/>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sq-A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'[Chart in Microsoft Word]доставени прашалници'!$B$2</c:f>
              <c:numCache>
                <c:formatCode>General</c:formatCode>
                <c:ptCount val="1"/>
              </c:numCache>
            </c:numRef>
          </c:cat>
          <c:val>
            <c:numRef>
              <c:f>'[Chart in Microsoft Word]доставени прашалници'!$B$3</c:f>
              <c:numCache>
                <c:formatCode>0.00%</c:formatCode>
                <c:ptCount val="1"/>
                <c:pt idx="0">
                  <c:v>0.42220000000000002</c:v>
                </c:pt>
              </c:numCache>
            </c:numRef>
          </c:val>
          <c:extLst>
            <c:ext xmlns:c16="http://schemas.microsoft.com/office/drawing/2014/chart" uri="{C3380CC4-5D6E-409C-BE32-E72D297353CC}">
              <c16:uniqueId val="{00000000-FF32-40F6-A143-7C3197945857}"/>
            </c:ext>
          </c:extLst>
        </c:ser>
        <c:ser>
          <c:idx val="1"/>
          <c:order val="1"/>
          <c:tx>
            <c:strRef>
              <c:f>'[Chart in Microsoft Word]доставени прашалници'!$A$4</c:f>
              <c:strCache>
                <c:ptCount val="1"/>
                <c:pt idx="0">
                  <c:v>Qeveria e RMV, ministritë dhe organet në përbërje</c:v>
                </c:pt>
              </c:strCache>
            </c:strRef>
          </c:tx>
          <c:spPr>
            <a:solidFill>
              <a:schemeClr val="accent4">
                <a:alpha val="85000"/>
              </a:schemeClr>
            </a:solidFill>
            <a:ln w="9525" cap="flat" cmpd="sng" algn="ctr">
              <a:solidFill>
                <a:schemeClr val="lt1">
                  <a:alpha val="50000"/>
                </a:schemeClr>
              </a:solidFill>
              <a:round/>
            </a:ln>
            <a:effectLst/>
            <a:scene3d>
              <a:camera prst="orthographicFront"/>
              <a:lightRig rig="threePt" dir="t"/>
            </a:scene3d>
            <a:sp3d>
              <a:bevelT w="114300" prst="hardEdge"/>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sq-A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'[Chart in Microsoft Word]доставени прашалници'!$B$2</c:f>
              <c:numCache>
                <c:formatCode>General</c:formatCode>
                <c:ptCount val="1"/>
              </c:numCache>
            </c:numRef>
          </c:cat>
          <c:val>
            <c:numRef>
              <c:f>'[Chart in Microsoft Word]доставени прашалници'!$B$4</c:f>
              <c:numCache>
                <c:formatCode>0.00%</c:formatCode>
                <c:ptCount val="1"/>
                <c:pt idx="0">
                  <c:v>0.52290000000000003</c:v>
                </c:pt>
              </c:numCache>
            </c:numRef>
          </c:val>
          <c:extLst>
            <c:ext xmlns:c16="http://schemas.microsoft.com/office/drawing/2014/chart" uri="{C3380CC4-5D6E-409C-BE32-E72D297353CC}">
              <c16:uniqueId val="{00000001-FF32-40F6-A143-7C3197945857}"/>
            </c:ext>
          </c:extLst>
        </c:ser>
        <c:ser>
          <c:idx val="2"/>
          <c:order val="2"/>
          <c:tx>
            <c:strRef>
              <c:f>'[Chart in Microsoft Word]доставени прашалници'!$A$5</c:f>
              <c:strCache>
                <c:ptCount val="1"/>
                <c:pt idx="0">
                  <c:v>NP nën kompetencën e komunave dhe Qeverisë së RMV</c:v>
                </c:pt>
              </c:strCache>
            </c:strRef>
          </c:tx>
          <c:spPr>
            <a:solidFill>
              <a:schemeClr val="accent6">
                <a:alpha val="85000"/>
              </a:schemeClr>
            </a:solidFill>
            <a:ln w="0" cap="flat" cmpd="sng" algn="ctr">
              <a:solidFill>
                <a:schemeClr val="lt1">
                  <a:alpha val="50000"/>
                </a:schemeClr>
              </a:solidFill>
              <a:round/>
            </a:ln>
            <a:effectLst/>
            <a:scene3d>
              <a:camera prst="orthographicFront"/>
              <a:lightRig rig="threePt" dir="t"/>
            </a:scene3d>
            <a:sp3d>
              <a:bevelT w="114300" prst="hardEdge"/>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sq-A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'[Chart in Microsoft Word]доставени прашалници'!$B$2</c:f>
              <c:numCache>
                <c:formatCode>General</c:formatCode>
                <c:ptCount val="1"/>
              </c:numCache>
            </c:numRef>
          </c:cat>
          <c:val>
            <c:numRef>
              <c:f>'[Chart in Microsoft Word]доставени прашалници'!$B$5</c:f>
              <c:numCache>
                <c:formatCode>0.00%</c:formatCode>
                <c:ptCount val="1"/>
                <c:pt idx="0">
                  <c:v>0.6512</c:v>
                </c:pt>
              </c:numCache>
            </c:numRef>
          </c:val>
          <c:extLst>
            <c:ext xmlns:c16="http://schemas.microsoft.com/office/drawing/2014/chart" uri="{C3380CC4-5D6E-409C-BE32-E72D297353CC}">
              <c16:uniqueId val="{00000002-FF32-40F6-A143-7C3197945857}"/>
            </c:ext>
          </c:extLst>
        </c:ser>
        <c:dLbls>
          <c:dLblPos val="inEnd"/>
          <c:showLegendKey val="0"/>
          <c:showVal val="1"/>
          <c:showCatName val="0"/>
          <c:showSerName val="0"/>
          <c:showPercent val="0"/>
          <c:showBubbleSize val="0"/>
        </c:dLbls>
        <c:gapWidth val="270"/>
        <c:axId val="1482163007"/>
        <c:axId val="1482163423"/>
      </c:barChart>
      <c:catAx>
        <c:axId val="1482163007"/>
        <c:scaling>
          <c:orientation val="minMax"/>
        </c:scaling>
        <c:delete val="1"/>
        <c:axPos val="l"/>
        <c:numFmt formatCode="General" sourceLinked="1"/>
        <c:majorTickMark val="none"/>
        <c:minorTickMark val="none"/>
        <c:tickLblPos val="nextTo"/>
        <c:crossAx val="1482163423"/>
        <c:crosses val="autoZero"/>
        <c:auto val="1"/>
        <c:lblAlgn val="ctr"/>
        <c:lblOffset val="100"/>
        <c:noMultiLvlLbl val="0"/>
      </c:catAx>
      <c:valAx>
        <c:axId val="1482163423"/>
        <c:scaling>
          <c:orientation val="minMax"/>
        </c:scaling>
        <c:delete val="1"/>
        <c:axPos val="b"/>
        <c:numFmt formatCode="0.00%" sourceLinked="1"/>
        <c:majorTickMark val="none"/>
        <c:minorTickMark val="none"/>
        <c:tickLblPos val="nextTo"/>
        <c:crossAx val="1482163007"/>
        <c:crosses val="autoZero"/>
        <c:crossBetween val="between"/>
      </c:valAx>
      <c:spPr>
        <a:noFill/>
        <a:ln w="9525" cap="flat" cmpd="sng" algn="ctr">
          <a:noFill/>
          <a:prstDash val="solid"/>
          <a:round/>
          <a:headEnd type="none" w="med" len="med"/>
          <a:tailEnd type="none" w="med" len="med"/>
        </a:ln>
        <a:effectLst/>
      </c:spPr>
    </c:plotArea>
    <c:legend>
      <c:legendPos val="l"/>
      <c:layout>
        <c:manualLayout>
          <c:xMode val="edge"/>
          <c:yMode val="edge"/>
          <c:x val="1.6666666666666666E-2"/>
          <c:y val="0.30346967045785944"/>
          <c:w val="0.28611111111111109"/>
          <c:h val="0.536463254593175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q-A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q-A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Bahnschrift SemiLight SemiConde" panose="020B0502040204020203" pitchFamily="34" charset="0"/>
                <a:ea typeface="+mn-ea"/>
                <a:cs typeface="+mn-cs"/>
              </a:defRPr>
            </a:pPr>
            <a:r>
              <a:rPr lang="sq-AL" sz="1200">
                <a:solidFill>
                  <a:sysClr val="windowText" lastClr="000000"/>
                </a:solidFill>
                <a:latin typeface="Bahnschrift SemiLight SemiConde" panose="020B0502040204020203" pitchFamily="34" charset="0"/>
              </a:rPr>
              <a:t>Mesatarja e transparencës sipas pyetjeve</a:t>
            </a:r>
            <a:endParaRPr lang="en-US" sz="1200">
              <a:solidFill>
                <a:sysClr val="windowText" lastClr="000000"/>
              </a:solidFill>
              <a:latin typeface="Bahnschrift SemiLight SemiConde" panose="020B0502040204020203"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Bahnschrift SemiLight SemiConde" panose="020B0502040204020203" pitchFamily="34" charset="0"/>
              <a:ea typeface="+mn-ea"/>
              <a:cs typeface="+mn-cs"/>
            </a:defRPr>
          </a:pPr>
          <a:endParaRPr lang="sq-AL"/>
        </a:p>
      </c:txPr>
    </c:title>
    <c:autoTitleDeleted val="0"/>
    <c:plotArea>
      <c:layout>
        <c:manualLayout>
          <c:layoutTarget val="inner"/>
          <c:xMode val="edge"/>
          <c:yMode val="edge"/>
          <c:x val="0.27826815398075239"/>
          <c:y val="0.17171296296296296"/>
          <c:w val="0.691176290463692"/>
          <c:h val="0.77736111111111106"/>
        </c:manualLayout>
      </c:layout>
      <c:barChart>
        <c:barDir val="bar"/>
        <c:grouping val="clustered"/>
        <c:varyColors val="0"/>
        <c:ser>
          <c:idx val="0"/>
          <c:order val="0"/>
          <c:tx>
            <c:strRef>
              <c:f>'[Chart in Microsoft Word]транспарентност по прашања'!$A$17</c:f>
              <c:strCache>
                <c:ptCount val="1"/>
                <c:pt idx="0">
                  <c:v>informacione të sistematuzara</c:v>
                </c:pt>
              </c:strCache>
            </c:strRef>
          </c:tx>
          <c:spPr>
            <a:solidFill>
              <a:schemeClr val="accent6"/>
            </a:solidFill>
            <a:ln w="19050" cap="flat" cmpd="sng" algn="ctr">
              <a:solidFill>
                <a:schemeClr val="lt1"/>
              </a:solidFill>
              <a:prstDash val="solid"/>
              <a:miter lim="800000"/>
            </a:ln>
            <a:effectLst/>
            <a:scene3d>
              <a:camera prst="orthographicFront"/>
              <a:lightRig rig="threePt" dir="t"/>
            </a:scene3d>
            <a:sp3d>
              <a:bevelT w="114300" prst="hardEdge"/>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q-A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'[Chart in Microsoft Word]транспарентност по прашања'!$B$17</c:f>
              <c:numCache>
                <c:formatCode>0.00%</c:formatCode>
                <c:ptCount val="1"/>
                <c:pt idx="0">
                  <c:v>0.86360000000000003</c:v>
                </c:pt>
              </c:numCache>
            </c:numRef>
          </c:val>
          <c:extLst>
            <c:ext xmlns:c16="http://schemas.microsoft.com/office/drawing/2014/chart" uri="{C3380CC4-5D6E-409C-BE32-E72D297353CC}">
              <c16:uniqueId val="{00000000-700A-4648-A699-629EF27DE739}"/>
            </c:ext>
          </c:extLst>
        </c:ser>
        <c:ser>
          <c:idx val="1"/>
          <c:order val="1"/>
          <c:tx>
            <c:strRef>
              <c:f>'[Chart in Microsoft Word]транспарентност по прашања'!$A$18</c:f>
              <c:strCache>
                <c:ptCount val="1"/>
                <c:pt idx="0">
                  <c:v>link (baner)</c:v>
                </c:pt>
              </c:strCache>
            </c:strRef>
          </c:tx>
          <c:spPr>
            <a:solidFill>
              <a:schemeClr val="accent2"/>
            </a:solidFill>
            <a:ln>
              <a:noFill/>
            </a:ln>
            <a:effectLst/>
            <a:scene3d>
              <a:camera prst="orthographicFront"/>
              <a:lightRig rig="threePt" dir="t"/>
            </a:scene3d>
            <a:sp3d>
              <a:bevelT w="114300" prst="hardEdge"/>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sq-A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'[Chart in Microsoft Word]транспарентност по прашања'!$B$18</c:f>
              <c:numCache>
                <c:formatCode>0.00%</c:formatCode>
                <c:ptCount val="1"/>
                <c:pt idx="0">
                  <c:v>0.55789999999999995</c:v>
                </c:pt>
              </c:numCache>
            </c:numRef>
          </c:val>
          <c:extLst>
            <c:ext xmlns:c16="http://schemas.microsoft.com/office/drawing/2014/chart" uri="{C3380CC4-5D6E-409C-BE32-E72D297353CC}">
              <c16:uniqueId val="{00000001-700A-4648-A699-629EF27DE739}"/>
            </c:ext>
          </c:extLst>
        </c:ser>
        <c:ser>
          <c:idx val="2"/>
          <c:order val="2"/>
          <c:tx>
            <c:strRef>
              <c:f>'[Chart in Microsoft Word]транспарентност по прашања'!$A$19</c:f>
              <c:strCache>
                <c:ptCount val="1"/>
                <c:pt idx="0">
                  <c:v>kërkesa të anonimizuara</c:v>
                </c:pt>
              </c:strCache>
            </c:strRef>
          </c:tx>
          <c:spPr>
            <a:solidFill>
              <a:schemeClr val="accent4"/>
            </a:solidFill>
            <a:ln w="19050" cap="flat" cmpd="sng" algn="ctr">
              <a:solidFill>
                <a:schemeClr val="lt1"/>
              </a:solidFill>
              <a:prstDash val="solid"/>
              <a:miter lim="800000"/>
            </a:ln>
            <a:effectLst/>
            <a:scene3d>
              <a:camera prst="orthographicFront"/>
              <a:lightRig rig="threePt" dir="t"/>
            </a:scene3d>
            <a:sp3d>
              <a:bevelT w="114300" prst="hardEdge"/>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sq-A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'[Chart in Microsoft Word]транспарентност по прашања'!$B$19</c:f>
              <c:numCache>
                <c:formatCode>0.00%</c:formatCode>
                <c:ptCount val="1"/>
                <c:pt idx="0">
                  <c:v>0.27689999999999998</c:v>
                </c:pt>
              </c:numCache>
            </c:numRef>
          </c:val>
          <c:extLst>
            <c:ext xmlns:c16="http://schemas.microsoft.com/office/drawing/2014/chart" uri="{C3380CC4-5D6E-409C-BE32-E72D297353CC}">
              <c16:uniqueId val="{00000002-700A-4648-A699-629EF27DE739}"/>
            </c:ext>
          </c:extLst>
        </c:ser>
        <c:dLbls>
          <c:showLegendKey val="0"/>
          <c:showVal val="0"/>
          <c:showCatName val="0"/>
          <c:showSerName val="0"/>
          <c:showPercent val="0"/>
          <c:showBubbleSize val="0"/>
        </c:dLbls>
        <c:gapWidth val="75"/>
        <c:overlap val="40"/>
        <c:axId val="952105103"/>
        <c:axId val="952104271"/>
      </c:barChart>
      <c:catAx>
        <c:axId val="952105103"/>
        <c:scaling>
          <c:orientation val="minMax"/>
        </c:scaling>
        <c:delete val="1"/>
        <c:axPos val="l"/>
        <c:numFmt formatCode="General" sourceLinked="1"/>
        <c:majorTickMark val="none"/>
        <c:minorTickMark val="none"/>
        <c:tickLblPos val="nextTo"/>
        <c:crossAx val="952104271"/>
        <c:crosses val="autoZero"/>
        <c:auto val="1"/>
        <c:lblAlgn val="ctr"/>
        <c:lblOffset val="100"/>
        <c:noMultiLvlLbl val="0"/>
      </c:catAx>
      <c:valAx>
        <c:axId val="952104271"/>
        <c:scaling>
          <c:orientation val="minMax"/>
        </c:scaling>
        <c:delete val="1"/>
        <c:axPos val="b"/>
        <c:numFmt formatCode="0.00%" sourceLinked="1"/>
        <c:majorTickMark val="none"/>
        <c:minorTickMark val="none"/>
        <c:tickLblPos val="nextTo"/>
        <c:crossAx val="952105103"/>
        <c:crosses val="autoZero"/>
        <c:crossBetween val="between"/>
      </c:valAx>
      <c:spPr>
        <a:noFill/>
        <a:ln>
          <a:noFill/>
        </a:ln>
        <a:effectLst/>
      </c:spPr>
    </c:plotArea>
    <c:legend>
      <c:legendPos val="l"/>
      <c:layout>
        <c:manualLayout>
          <c:xMode val="edge"/>
          <c:yMode val="edge"/>
          <c:x val="1.6666666666666666E-2"/>
          <c:y val="0.36768336249635464"/>
          <c:w val="0.23660148731408573"/>
          <c:h val="0.3854199475065616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dk1"/>
                </a:solidFill>
                <a:latin typeface="Bahnschrift SemiLight SemiConde" panose="020B0502040204020203" pitchFamily="34" charset="0"/>
                <a:ea typeface="+mn-ea"/>
                <a:cs typeface="+mn-cs"/>
              </a:defRPr>
            </a:pPr>
            <a:r>
              <a:rPr lang="sq-AL" sz="1200">
                <a:latin typeface="Bahnschrift SemiLight SemiConde" panose="020B0502040204020203" pitchFamily="34" charset="0"/>
              </a:rPr>
              <a:t>Mesatrja e Transparencës sipas kategorive të poseduesve</a:t>
            </a:r>
            <a:endParaRPr lang="mk-MK" sz="1200">
              <a:latin typeface="Bahnschrift SemiLight SemiConde" panose="020B0502040204020203"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dk1"/>
              </a:solidFill>
              <a:latin typeface="Bahnschrift SemiLight SemiConde" panose="020B0502040204020203" pitchFamily="34" charset="0"/>
              <a:ea typeface="+mn-ea"/>
              <a:cs typeface="+mn-cs"/>
            </a:defRPr>
          </a:pPr>
          <a:endParaRPr lang="sq-AL"/>
        </a:p>
      </c:txPr>
    </c:title>
    <c:autoTitleDeleted val="0"/>
    <c:plotArea>
      <c:layout/>
      <c:doughnutChart>
        <c:varyColors val="1"/>
        <c:ser>
          <c:idx val="0"/>
          <c:order val="0"/>
          <c:tx>
            <c:strRef>
              <c:f>'[Chart 2 in Microsoft Word]по категорија на иматели'!$K$3</c:f>
              <c:strCache>
                <c:ptCount val="1"/>
                <c:pt idx="0">
                  <c:v>просек по категорија на имател</c:v>
                </c:pt>
              </c:strCache>
            </c:strRef>
          </c:tx>
          <c:spPr>
            <a:scene3d>
              <a:camera prst="orthographicFront"/>
              <a:lightRig rig="threePt" dir="t"/>
            </a:scene3d>
            <a:sp3d>
              <a:bevelT w="139700" h="139700" prst="divot"/>
            </a:sp3d>
          </c:spPr>
          <c:dPt>
            <c:idx val="0"/>
            <c:bubble3D val="0"/>
            <c:spPr>
              <a:solidFill>
                <a:schemeClr val="accent2"/>
              </a:solidFill>
              <a:ln w="19050">
                <a:solidFill>
                  <a:schemeClr val="lt1"/>
                </a:solidFill>
              </a:ln>
              <a:effectLst/>
              <a:scene3d>
                <a:camera prst="orthographicFront"/>
                <a:lightRig rig="threePt" dir="t"/>
              </a:scene3d>
              <a:sp3d>
                <a:bevelT w="139700" h="139700" prst="divot"/>
              </a:sp3d>
            </c:spPr>
            <c:extLst>
              <c:ext xmlns:c16="http://schemas.microsoft.com/office/drawing/2014/chart" uri="{C3380CC4-5D6E-409C-BE32-E72D297353CC}">
                <c16:uniqueId val="{00000001-B010-47A6-9402-B38E7A63B4C8}"/>
              </c:ext>
            </c:extLst>
          </c:dPt>
          <c:dPt>
            <c:idx val="1"/>
            <c:bubble3D val="0"/>
            <c:spPr>
              <a:solidFill>
                <a:schemeClr val="accent4"/>
              </a:solidFill>
              <a:ln w="19050">
                <a:solidFill>
                  <a:schemeClr val="lt1"/>
                </a:solidFill>
              </a:ln>
              <a:effectLst/>
              <a:scene3d>
                <a:camera prst="orthographicFront"/>
                <a:lightRig rig="threePt" dir="t"/>
              </a:scene3d>
              <a:sp3d>
                <a:bevelT w="139700" h="139700" prst="divot"/>
              </a:sp3d>
            </c:spPr>
            <c:extLst>
              <c:ext xmlns:c16="http://schemas.microsoft.com/office/drawing/2014/chart" uri="{C3380CC4-5D6E-409C-BE32-E72D297353CC}">
                <c16:uniqueId val="{00000003-B010-47A6-9402-B38E7A63B4C8}"/>
              </c:ext>
            </c:extLst>
          </c:dPt>
          <c:dPt>
            <c:idx val="2"/>
            <c:bubble3D val="0"/>
            <c:spPr>
              <a:solidFill>
                <a:schemeClr val="accent6"/>
              </a:solidFill>
              <a:ln w="19050">
                <a:solidFill>
                  <a:schemeClr val="lt1"/>
                </a:solidFill>
              </a:ln>
              <a:effectLst/>
              <a:scene3d>
                <a:camera prst="orthographicFront"/>
                <a:lightRig rig="threePt" dir="t"/>
              </a:scene3d>
              <a:sp3d>
                <a:bevelT w="139700" h="139700" prst="divot"/>
              </a:sp3d>
            </c:spPr>
            <c:extLst>
              <c:ext xmlns:c16="http://schemas.microsoft.com/office/drawing/2014/chart" uri="{C3380CC4-5D6E-409C-BE32-E72D297353CC}">
                <c16:uniqueId val="{00000005-B010-47A6-9402-B38E7A63B4C8}"/>
              </c:ext>
            </c:extLst>
          </c:dPt>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sq-A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2 in Microsoft Word]по категорија на иматели'!$L$2:$N$2</c:f>
              <c:strCache>
                <c:ptCount val="3"/>
                <c:pt idx="0">
                  <c:v>Komuna dhe Qendra për zhvillimin e rajoneve planifikuese</c:v>
                </c:pt>
                <c:pt idx="1">
                  <c:v>Qeveria e RMV, ministritë dhe organet në përbërje</c:v>
                </c:pt>
                <c:pt idx="2">
                  <c:v>NP nën kompetencën e komunave dhe Qeverisë së RMV</c:v>
                </c:pt>
              </c:strCache>
            </c:strRef>
          </c:cat>
          <c:val>
            <c:numRef>
              <c:f>'[Chart 2 in Microsoft Word]по категорија на иматели'!$L$3:$N$3</c:f>
              <c:numCache>
                <c:formatCode>0.00%</c:formatCode>
                <c:ptCount val="3"/>
                <c:pt idx="0" formatCode="0%">
                  <c:v>0.45</c:v>
                </c:pt>
                <c:pt idx="1">
                  <c:v>0.61240000000000006</c:v>
                </c:pt>
                <c:pt idx="2">
                  <c:v>0.61050000000000004</c:v>
                </c:pt>
              </c:numCache>
            </c:numRef>
          </c:val>
          <c:extLst>
            <c:ext xmlns:c16="http://schemas.microsoft.com/office/drawing/2014/chart" uri="{C3380CC4-5D6E-409C-BE32-E72D297353CC}">
              <c16:uniqueId val="{00000006-B010-47A6-9402-B38E7A63B4C8}"/>
            </c:ext>
          </c:extLst>
        </c:ser>
        <c:dLbls>
          <c:showLegendKey val="0"/>
          <c:showVal val="0"/>
          <c:showCatName val="0"/>
          <c:showSerName val="0"/>
          <c:showPercent val="0"/>
          <c:showBubbleSize val="0"/>
          <c:showLeaderLines val="1"/>
        </c:dLbls>
        <c:firstSliceAng val="0"/>
        <c:holeSize val="50"/>
      </c:doughnutChart>
      <c:spPr>
        <a:noFill/>
        <a:ln>
          <a:noFill/>
        </a:ln>
        <a:effectLst>
          <a:softEdge rad="63500"/>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sq-AL"/>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A08C9736644F5CA1A22C35D2F90737"/>
        <w:category>
          <w:name w:val="General"/>
          <w:gallery w:val="placeholder"/>
        </w:category>
        <w:types>
          <w:type w:val="bbPlcHdr"/>
        </w:types>
        <w:behaviors>
          <w:behavior w:val="content"/>
        </w:behaviors>
        <w:guid w:val="{6F3F443A-70EF-4E50-9196-2530D25D2A43}"/>
      </w:docPartPr>
      <w:docPartBody>
        <w:p w:rsidR="00DC7AAD" w:rsidRDefault="00986650" w:rsidP="00986650">
          <w:pPr>
            <w:pStyle w:val="A9A08C9736644F5CA1A22C35D2F9073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50"/>
    <w:rsid w:val="00294AFB"/>
    <w:rsid w:val="00471EBC"/>
    <w:rsid w:val="00613E57"/>
    <w:rsid w:val="008D4557"/>
    <w:rsid w:val="00982CE8"/>
    <w:rsid w:val="00986650"/>
    <w:rsid w:val="00BD34FC"/>
    <w:rsid w:val="00C804D9"/>
    <w:rsid w:val="00CC000C"/>
    <w:rsid w:val="00D01196"/>
    <w:rsid w:val="00DC7AAD"/>
    <w:rsid w:val="00DE572D"/>
    <w:rsid w:val="00E26CE2"/>
    <w:rsid w:val="00F8591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mk-MK" w:eastAsia="mk-M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650"/>
    <w:rPr>
      <w:color w:val="808080"/>
    </w:rPr>
  </w:style>
  <w:style w:type="paragraph" w:customStyle="1" w:styleId="A9A08C9736644F5CA1A22C35D2F90737">
    <w:name w:val="A9A08C9736644F5CA1A22C35D2F90737"/>
    <w:rsid w:val="009866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3300</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AGJENCIA PËR MBROJTJEN E TË DREJTËS PËR QASJE TË LIRË NË INFORMACIONE ME KARAKTER PUBLIK</dc:creator>
  <cp:keywords/>
  <dc:description/>
  <cp:lastModifiedBy>Valon Mustafa</cp:lastModifiedBy>
  <cp:revision>2</cp:revision>
  <cp:lastPrinted>2025-08-27T10:24:00Z</cp:lastPrinted>
  <dcterms:created xsi:type="dcterms:W3CDTF">2025-09-03T18:38:00Z</dcterms:created>
  <dcterms:modified xsi:type="dcterms:W3CDTF">2025-09-03T18:38:00Z</dcterms:modified>
</cp:coreProperties>
</file>