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00979" w14:textId="2257A848" w:rsidR="000D738B" w:rsidRPr="00381975" w:rsidRDefault="000D738B" w:rsidP="000D738B">
      <w:pPr>
        <w:spacing w:before="100" w:beforeAutospacing="1" w:after="100" w:afterAutospacing="1" w:line="240" w:lineRule="auto"/>
        <w:jc w:val="center"/>
        <w:rPr>
          <w:rFonts w:eastAsia="Times New Roman" w:cs="Times New Roman"/>
          <w:b/>
          <w:bCs/>
          <w:sz w:val="28"/>
          <w:szCs w:val="28"/>
          <w:lang w:val="sq-AL" w:eastAsia="mk-MK"/>
        </w:rPr>
      </w:pPr>
      <w:bookmarkStart w:id="0" w:name="_Hlk203384090"/>
      <w:bookmarkStart w:id="1" w:name="_GoBack"/>
      <w:bookmarkEnd w:id="0"/>
      <w:bookmarkEnd w:id="1"/>
      <w:r w:rsidRPr="00381975">
        <w:rPr>
          <w:rFonts w:cs="Calibri"/>
          <w:noProof/>
          <w:color w:val="000000"/>
          <w:lang w:val="sq-AL" w:eastAsia="sq-AL"/>
        </w:rPr>
        <w:drawing>
          <wp:inline distT="0" distB="0" distL="0" distR="0" wp14:anchorId="71F75D0D" wp14:editId="39B9A765">
            <wp:extent cx="333375" cy="676275"/>
            <wp:effectExtent l="0" t="0" r="9525" b="9525"/>
            <wp:docPr id="90888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676275"/>
                    </a:xfrm>
                    <a:prstGeom prst="rect">
                      <a:avLst/>
                    </a:prstGeom>
                    <a:noFill/>
                    <a:ln>
                      <a:noFill/>
                    </a:ln>
                  </pic:spPr>
                </pic:pic>
              </a:graphicData>
            </a:graphic>
          </wp:inline>
        </w:drawing>
      </w:r>
    </w:p>
    <w:p w14:paraId="0BD85B2D" w14:textId="44A87BD0" w:rsidR="000D738B" w:rsidRPr="00381975" w:rsidRDefault="00A82678" w:rsidP="00A82678">
      <w:pPr>
        <w:spacing w:after="27"/>
        <w:ind w:left="144" w:hanging="10"/>
        <w:jc w:val="center"/>
        <w:rPr>
          <w:rFonts w:cs="Calibri"/>
          <w:color w:val="000000"/>
          <w:sz w:val="20"/>
          <w:szCs w:val="20"/>
          <w:lang w:val="sq-AL" w:eastAsia="mk-MK"/>
        </w:rPr>
      </w:pPr>
      <w:r w:rsidRPr="00381975">
        <w:rPr>
          <w:rFonts w:eastAsia="Arial" w:cs="Arial"/>
          <w:b/>
          <w:color w:val="000000"/>
          <w:sz w:val="20"/>
          <w:szCs w:val="20"/>
          <w:lang w:val="sq-AL" w:eastAsia="mk-MK"/>
        </w:rPr>
        <w:t>AGJENCIA PËR MBROJTJEN E TË DREJTËS PËR QASJE TË LIR NË INFORMACIONE ME KARAKTER PUBLIK</w:t>
      </w:r>
    </w:p>
    <w:p w14:paraId="062E7656" w14:textId="77777777" w:rsidR="000D738B" w:rsidRPr="00381975" w:rsidRDefault="000D738B" w:rsidP="000D738B">
      <w:pPr>
        <w:rPr>
          <w:rFonts w:cs="Arial"/>
          <w:b/>
          <w:sz w:val="28"/>
          <w:szCs w:val="28"/>
          <w:lang w:val="sq-AL"/>
        </w:rPr>
      </w:pPr>
    </w:p>
    <w:p w14:paraId="3F7E826E" w14:textId="4AB460DF" w:rsidR="000D738B" w:rsidRPr="00381975" w:rsidRDefault="00A82678" w:rsidP="00595D47">
      <w:pPr>
        <w:spacing w:after="0" w:line="240" w:lineRule="auto"/>
        <w:jc w:val="center"/>
        <w:rPr>
          <w:rFonts w:cs="Arial"/>
          <w:b/>
          <w:sz w:val="32"/>
          <w:szCs w:val="32"/>
          <w:lang w:val="sq-AL"/>
        </w:rPr>
      </w:pPr>
      <w:r w:rsidRPr="00381975">
        <w:rPr>
          <w:rFonts w:cs="Arial"/>
          <w:b/>
          <w:sz w:val="32"/>
          <w:szCs w:val="32"/>
          <w:lang w:val="sq-AL"/>
        </w:rPr>
        <w:t>ANALIZË E PROCEDURAVE TË AGJENCISË PËR MBROJTJEN E TË DREJTËS PËR QASJE TË LIRË NË INFORMACIONE ME KARAKTER PUBLIK MBI ANKESAT E PRANUARA NË PERIUDHËN NGA 1 JANAR DERI MË 30 QERSHOR 2025, ME REFERENCË TË VEÇANTË PËR HESHTJEN E ADMINISTRATËS</w:t>
      </w:r>
    </w:p>
    <w:p w14:paraId="0DE7BB56" w14:textId="77777777" w:rsidR="000D738B" w:rsidRPr="00381975" w:rsidRDefault="000D738B" w:rsidP="000D738B">
      <w:pPr>
        <w:rPr>
          <w:rFonts w:cs="Arial"/>
          <w:b/>
          <w:lang w:val="sq-AL"/>
        </w:rPr>
      </w:pPr>
    </w:p>
    <w:p w14:paraId="0E0A984E" w14:textId="77777777" w:rsidR="000D738B" w:rsidRPr="00381975" w:rsidRDefault="000D738B" w:rsidP="000D738B">
      <w:pPr>
        <w:jc w:val="center"/>
        <w:rPr>
          <w:b/>
          <w:lang w:val="sq-AL"/>
        </w:rPr>
      </w:pPr>
      <w:r w:rsidRPr="00381975">
        <w:rPr>
          <w:noProof/>
          <w:lang w:val="sq-AL" w:eastAsia="sq-AL"/>
        </w:rPr>
        <w:drawing>
          <wp:inline distT="0" distB="0" distL="0" distR="0" wp14:anchorId="556DB125" wp14:editId="2FEE2834">
            <wp:extent cx="5730946" cy="44196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1020" cy="4427369"/>
                    </a:xfrm>
                    <a:prstGeom prst="rect">
                      <a:avLst/>
                    </a:prstGeom>
                    <a:noFill/>
                    <a:ln>
                      <a:noFill/>
                    </a:ln>
                  </pic:spPr>
                </pic:pic>
              </a:graphicData>
            </a:graphic>
          </wp:inline>
        </w:drawing>
      </w:r>
    </w:p>
    <w:p w14:paraId="47819571" w14:textId="77777777" w:rsidR="000D738B" w:rsidRPr="00381975" w:rsidRDefault="000D738B" w:rsidP="000D738B">
      <w:pPr>
        <w:jc w:val="center"/>
        <w:rPr>
          <w:b/>
          <w:lang w:val="sq-AL"/>
        </w:rPr>
      </w:pPr>
    </w:p>
    <w:p w14:paraId="08F77A83" w14:textId="4E192E77" w:rsidR="000D738B" w:rsidRPr="00381975" w:rsidRDefault="00A82678" w:rsidP="000D738B">
      <w:pPr>
        <w:jc w:val="center"/>
        <w:rPr>
          <w:b/>
          <w:lang w:val="sq-AL"/>
        </w:rPr>
      </w:pPr>
      <w:r w:rsidRPr="00381975">
        <w:rPr>
          <w:b/>
          <w:lang w:val="sq-AL"/>
        </w:rPr>
        <w:t>Shkup, qershor viti 2025</w:t>
      </w:r>
    </w:p>
    <w:p w14:paraId="567B3CFD" w14:textId="314A2D91" w:rsidR="000A344F" w:rsidRPr="00381975" w:rsidRDefault="00A82678" w:rsidP="000A344F">
      <w:pPr>
        <w:spacing w:before="100" w:beforeAutospacing="1" w:after="100" w:afterAutospacing="1" w:line="240" w:lineRule="auto"/>
        <w:jc w:val="both"/>
        <w:rPr>
          <w:rFonts w:eastAsia="Times New Roman" w:cs="Times New Roman"/>
          <w:b/>
          <w:bCs/>
          <w:sz w:val="32"/>
          <w:szCs w:val="32"/>
          <w:lang w:val="sq-AL" w:eastAsia="mk-MK"/>
        </w:rPr>
      </w:pPr>
      <w:r w:rsidRPr="00381975">
        <w:rPr>
          <w:rFonts w:eastAsia="Times New Roman" w:cs="Times New Roman"/>
          <w:b/>
          <w:bCs/>
          <w:sz w:val="32"/>
          <w:szCs w:val="32"/>
          <w:lang w:val="sq-AL" w:eastAsia="mk-MK"/>
        </w:rPr>
        <w:lastRenderedPageBreak/>
        <w:t>Heshtja e administratës si tregues i mungesës së transparencës institucionale</w:t>
      </w:r>
    </w:p>
    <w:p w14:paraId="5F9D6BAE" w14:textId="77777777" w:rsidR="00B2524A" w:rsidRPr="00381975" w:rsidRDefault="00B2524A" w:rsidP="000A344F">
      <w:pPr>
        <w:spacing w:before="100" w:beforeAutospacing="1" w:after="100" w:afterAutospacing="1" w:line="240" w:lineRule="auto"/>
        <w:jc w:val="both"/>
        <w:outlineLvl w:val="2"/>
        <w:rPr>
          <w:rFonts w:eastAsia="Times New Roman" w:cs="Times New Roman"/>
          <w:b/>
          <w:bCs/>
          <w:sz w:val="2"/>
          <w:szCs w:val="2"/>
          <w:lang w:val="sq-AL" w:eastAsia="mk-MK"/>
        </w:rPr>
      </w:pPr>
    </w:p>
    <w:p w14:paraId="50DFA9C0" w14:textId="131163FD" w:rsidR="000A344F" w:rsidRPr="00381975" w:rsidRDefault="00A82678" w:rsidP="00B2524A">
      <w:pPr>
        <w:pStyle w:val="ListParagraph"/>
        <w:numPr>
          <w:ilvl w:val="0"/>
          <w:numId w:val="6"/>
        </w:numPr>
        <w:spacing w:before="100" w:beforeAutospacing="1" w:after="100" w:afterAutospacing="1" w:line="240" w:lineRule="auto"/>
        <w:jc w:val="both"/>
        <w:outlineLvl w:val="2"/>
        <w:rPr>
          <w:rFonts w:eastAsia="Times New Roman" w:cs="Times New Roman"/>
          <w:b/>
          <w:bCs/>
          <w:sz w:val="27"/>
          <w:szCs w:val="27"/>
          <w:lang w:val="sq-AL" w:eastAsia="mk-MK"/>
        </w:rPr>
      </w:pPr>
      <w:r w:rsidRPr="00381975">
        <w:rPr>
          <w:rFonts w:eastAsia="Times New Roman" w:cs="Times New Roman"/>
          <w:b/>
          <w:bCs/>
          <w:sz w:val="27"/>
          <w:szCs w:val="27"/>
          <w:lang w:val="sq-AL" w:eastAsia="mk-MK"/>
        </w:rPr>
        <w:t>HYRJE</w:t>
      </w:r>
    </w:p>
    <w:p w14:paraId="1EF5130F" w14:textId="12009967" w:rsidR="000A476D" w:rsidRPr="00381975" w:rsidRDefault="000A476D" w:rsidP="000A476D">
      <w:pPr>
        <w:spacing w:before="100" w:beforeAutospacing="1" w:after="100" w:afterAutospacing="1" w:line="240" w:lineRule="auto"/>
        <w:jc w:val="both"/>
        <w:rPr>
          <w:rFonts w:eastAsia="Times New Roman" w:cs="Times New Roman"/>
          <w:lang w:val="sq-AL" w:eastAsia="mk-MK"/>
        </w:rPr>
      </w:pPr>
      <w:r w:rsidRPr="00381975">
        <w:rPr>
          <w:rFonts w:eastAsia="Times New Roman" w:cs="Times New Roman"/>
          <w:lang w:val="sq-AL" w:eastAsia="mk-MK"/>
        </w:rPr>
        <w:t>Heshtja e administratës - kur institucionet nuk u përgjigjen kërkesave për qasje në informacion</w:t>
      </w:r>
      <w:r w:rsidRPr="00381975">
        <w:rPr>
          <w:rFonts w:eastAsia="Times New Roman" w:cs="Times New Roman"/>
          <w:lang w:val="sq-AL" w:eastAsia="mk-MK"/>
        </w:rPr>
        <w:t>e me karakter</w:t>
      </w:r>
      <w:r w:rsidRPr="00381975">
        <w:rPr>
          <w:rFonts w:eastAsia="Times New Roman" w:cs="Times New Roman"/>
          <w:lang w:val="sq-AL" w:eastAsia="mk-MK"/>
        </w:rPr>
        <w:t xml:space="preserve"> publik brenda afatit të përcaktuar me ligj - mbetet një nga pengesat më të mëdha për qeverisje transparente dhe të përgjegjshme në Republikën e Maqedonisë së Veriut. Pavarësisht kornizës së qartë ligjore, numri i ankesave të pranuara për shkak të heshtjes së administratës mbetet i lartë dhe alarmues.</w:t>
      </w:r>
    </w:p>
    <w:p w14:paraId="3AE8F127" w14:textId="7AACE470" w:rsidR="000A476D" w:rsidRPr="00381975" w:rsidRDefault="000A476D" w:rsidP="000A476D">
      <w:pPr>
        <w:spacing w:before="100" w:beforeAutospacing="1" w:after="100" w:afterAutospacing="1" w:line="240" w:lineRule="auto"/>
        <w:jc w:val="both"/>
        <w:rPr>
          <w:rFonts w:eastAsia="Times New Roman" w:cs="Times New Roman"/>
          <w:lang w:val="sq-AL" w:eastAsia="mk-MK"/>
        </w:rPr>
      </w:pPr>
      <w:r w:rsidRPr="00381975">
        <w:rPr>
          <w:rFonts w:eastAsia="Times New Roman" w:cs="Times New Roman"/>
          <w:lang w:val="sq-AL" w:eastAsia="mk-MK"/>
        </w:rPr>
        <w:t xml:space="preserve">Në një përpjekje për të monitoruar dhe kuptuar këtë fenomen, Agjencia </w:t>
      </w:r>
      <w:r w:rsidRPr="00381975">
        <w:rPr>
          <w:rFonts w:eastAsia="Times New Roman" w:cs="Times New Roman"/>
          <w:lang w:val="sq-AL" w:eastAsia="mk-MK"/>
        </w:rPr>
        <w:t>përpunon</w:t>
      </w:r>
      <w:r w:rsidRPr="00381975">
        <w:rPr>
          <w:rFonts w:eastAsia="Times New Roman" w:cs="Times New Roman"/>
          <w:lang w:val="sq-AL" w:eastAsia="mk-MK"/>
        </w:rPr>
        <w:t xml:space="preserve"> raporte analitike tematike bazuar në të dhënat e veta administrative nga procedurat e ankimimit. Raporti aktual mbulon situatën për periudhën nga 1 janari deri më 30 qershor 2025, duke ofruar një pasqyrë gjithëpërfshirëse të numrit, dinamikës dhe karakteristikave strukturore të ankesave të paraqitura për shkak të mosveprimit nga institucionet brenda afatit të përcaktuar me ligj.</w:t>
      </w:r>
    </w:p>
    <w:p w14:paraId="6DB2D77D" w14:textId="509CA5C7" w:rsidR="000A344F" w:rsidRPr="00381975" w:rsidRDefault="000A476D" w:rsidP="000A344F">
      <w:pPr>
        <w:spacing w:before="100" w:beforeAutospacing="1" w:after="100" w:afterAutospacing="1" w:line="240" w:lineRule="auto"/>
        <w:jc w:val="both"/>
        <w:rPr>
          <w:rFonts w:eastAsia="Times New Roman" w:cs="Times New Roman"/>
          <w:lang w:val="sq-AL" w:eastAsia="mk-MK"/>
        </w:rPr>
      </w:pPr>
      <w:r w:rsidRPr="00381975">
        <w:rPr>
          <w:rFonts w:eastAsia="Times New Roman" w:cs="Times New Roman"/>
          <w:lang w:val="sq-AL" w:eastAsia="mk-MK"/>
        </w:rPr>
        <w:t>Qëllimi i këtij raporti nuk është vetëm të dokumentojë shkallën e heshtjes, por edhe të analizojë thelbin e qëndrimit institucional ndaj të drejtës për qasje në informacion. Raporti synon gjithashtu të ofrojë rekomandime që do të inkurajojnë përmirësimin e transparencës, llogaridhënies dhe efektivitetit të sektorit publik.</w:t>
      </w:r>
    </w:p>
    <w:p w14:paraId="69B349E2" w14:textId="77777777" w:rsidR="00B2524A" w:rsidRPr="00381975" w:rsidRDefault="00B2524A" w:rsidP="000A344F">
      <w:pPr>
        <w:spacing w:before="100" w:beforeAutospacing="1" w:after="100" w:afterAutospacing="1" w:line="240" w:lineRule="auto"/>
        <w:jc w:val="both"/>
        <w:rPr>
          <w:rFonts w:eastAsia="Times New Roman" w:cs="Times New Roman"/>
          <w:sz w:val="2"/>
          <w:szCs w:val="2"/>
          <w:lang w:val="sq-AL" w:eastAsia="mk-MK"/>
        </w:rPr>
      </w:pPr>
    </w:p>
    <w:p w14:paraId="0101BA4B" w14:textId="083285F0" w:rsidR="000A344F" w:rsidRPr="00381975" w:rsidRDefault="000A476D" w:rsidP="00B2524A">
      <w:pPr>
        <w:pStyle w:val="ListParagraph"/>
        <w:numPr>
          <w:ilvl w:val="0"/>
          <w:numId w:val="6"/>
        </w:numPr>
        <w:spacing w:before="100" w:beforeAutospacing="1" w:after="100" w:afterAutospacing="1" w:line="240" w:lineRule="auto"/>
        <w:jc w:val="both"/>
        <w:outlineLvl w:val="2"/>
        <w:rPr>
          <w:rFonts w:eastAsia="Times New Roman" w:cs="Times New Roman"/>
          <w:b/>
          <w:bCs/>
          <w:sz w:val="27"/>
          <w:szCs w:val="27"/>
          <w:lang w:val="sq-AL" w:eastAsia="mk-MK"/>
        </w:rPr>
      </w:pPr>
      <w:r w:rsidRPr="00381975">
        <w:rPr>
          <w:rFonts w:eastAsia="Times New Roman" w:cs="Times New Roman"/>
          <w:b/>
          <w:bCs/>
          <w:sz w:val="27"/>
          <w:szCs w:val="27"/>
          <w:lang w:val="sq-AL" w:eastAsia="mk-MK"/>
        </w:rPr>
        <w:t>KORNIZA LIGJORE DJHE KONTEKSTI INSTITUCIONAL</w:t>
      </w:r>
    </w:p>
    <w:p w14:paraId="74AFA3B6" w14:textId="1B5A2CE6" w:rsidR="000A476D" w:rsidRPr="00381975" w:rsidRDefault="000A476D" w:rsidP="000A476D">
      <w:pPr>
        <w:spacing w:before="100" w:beforeAutospacing="1" w:after="100" w:afterAutospacing="1" w:line="240" w:lineRule="auto"/>
        <w:jc w:val="both"/>
        <w:rPr>
          <w:rFonts w:eastAsia="Times New Roman" w:cs="Times New Roman"/>
          <w:lang w:val="sq-AL" w:eastAsia="mk-MK"/>
        </w:rPr>
      </w:pPr>
      <w:r w:rsidRPr="00381975">
        <w:rPr>
          <w:rFonts w:eastAsia="Times New Roman" w:cs="Times New Roman"/>
          <w:lang w:val="sq-AL" w:eastAsia="mk-MK"/>
        </w:rPr>
        <w:t>Ligji për Qasje të Lirë në Informacion</w:t>
      </w:r>
      <w:r w:rsidRPr="00381975">
        <w:rPr>
          <w:rFonts w:eastAsia="Times New Roman" w:cs="Times New Roman"/>
          <w:lang w:val="sq-AL" w:eastAsia="mk-MK"/>
        </w:rPr>
        <w:t>e me Karakter</w:t>
      </w:r>
      <w:r w:rsidRPr="00381975">
        <w:rPr>
          <w:rFonts w:eastAsia="Times New Roman" w:cs="Times New Roman"/>
          <w:lang w:val="sq-AL" w:eastAsia="mk-MK"/>
        </w:rPr>
        <w:t xml:space="preserve"> Publik (“Gazeta Zyrtare e Republikës së Maqedonisë” Nr. 101/2019) përcakton të drejtën e çdo personi fizik dhe juridik për të marrë informacion me </w:t>
      </w:r>
      <w:r w:rsidRPr="00381975">
        <w:rPr>
          <w:rFonts w:eastAsia="Times New Roman" w:cs="Times New Roman"/>
          <w:lang w:val="sq-AL" w:eastAsia="mk-MK"/>
        </w:rPr>
        <w:t>karakter</w:t>
      </w:r>
      <w:r w:rsidRPr="00381975">
        <w:rPr>
          <w:rFonts w:eastAsia="Times New Roman" w:cs="Times New Roman"/>
          <w:lang w:val="sq-AL" w:eastAsia="mk-MK"/>
        </w:rPr>
        <w:t xml:space="preserve"> publik. Sipas nenit 21 të Ligjit, </w:t>
      </w:r>
      <w:r w:rsidRPr="00381975">
        <w:rPr>
          <w:rFonts w:eastAsia="Times New Roman" w:cs="Times New Roman"/>
          <w:lang w:val="sq-AL" w:eastAsia="mk-MK"/>
        </w:rPr>
        <w:t>poseduesi</w:t>
      </w:r>
      <w:r w:rsidRPr="00381975">
        <w:rPr>
          <w:rFonts w:eastAsia="Times New Roman" w:cs="Times New Roman"/>
          <w:lang w:val="sq-AL" w:eastAsia="mk-MK"/>
        </w:rPr>
        <w:t xml:space="preserve"> i informacionit është i detyruar t'i përgjigjet menjëherë, dhe jo më vonë se brenda 20 ditëve, një kërkese të paraqitur. Në rastet kur kërkohet informacion i gjerë ose pjesërisht i disponueshëm, afati mund të zgjatet deri në 30 ditë, me njoftim të detyrueshëm me shkrim për kërkuesin brenda 7 ditëve.</w:t>
      </w:r>
    </w:p>
    <w:p w14:paraId="5F6A5B90" w14:textId="40EAB4C0" w:rsidR="000A476D" w:rsidRPr="00381975" w:rsidRDefault="000A476D" w:rsidP="000A476D">
      <w:pPr>
        <w:spacing w:before="100" w:beforeAutospacing="1" w:after="100" w:afterAutospacing="1" w:line="240" w:lineRule="auto"/>
        <w:jc w:val="both"/>
        <w:rPr>
          <w:rFonts w:eastAsia="Times New Roman" w:cs="Times New Roman"/>
          <w:lang w:val="sq-AL" w:eastAsia="mk-MK"/>
        </w:rPr>
      </w:pPr>
      <w:r w:rsidRPr="00381975">
        <w:rPr>
          <w:rFonts w:eastAsia="Times New Roman" w:cs="Times New Roman"/>
          <w:lang w:val="sq-AL" w:eastAsia="mk-MK"/>
        </w:rPr>
        <w:t>Mosveprimi brenda afatit të përcaktuar, pa njoftim, përbën heshtje nga ana e administratës. Është një formë e mosveprimit institucional që kërcënon drejtpërdrejt të drejtën për qasje në informacion</w:t>
      </w:r>
      <w:r w:rsidRPr="00381975">
        <w:rPr>
          <w:rFonts w:eastAsia="Times New Roman" w:cs="Times New Roman"/>
          <w:lang w:val="sq-AL" w:eastAsia="mk-MK"/>
        </w:rPr>
        <w:t>e</w:t>
      </w:r>
      <w:r w:rsidRPr="00381975">
        <w:rPr>
          <w:rFonts w:eastAsia="Times New Roman" w:cs="Times New Roman"/>
          <w:lang w:val="sq-AL" w:eastAsia="mk-MK"/>
        </w:rPr>
        <w:t xml:space="preserve"> dhe krijon pasiguri ligjore. Sipas Ligjit, në rast heshtjeje nga ana e administratës, kërkuesi ka të drejtë të paraqesë ankesë në Agjenci si organ i shkallës së dytë, brenda 15 ditëve pas skadimit të afatit ligjor. </w:t>
      </w:r>
    </w:p>
    <w:p w14:paraId="19E01D61" w14:textId="2F98A411" w:rsidR="000A344F" w:rsidRPr="00381975" w:rsidRDefault="000A476D" w:rsidP="000A476D">
      <w:pPr>
        <w:spacing w:before="100" w:beforeAutospacing="1" w:after="100" w:afterAutospacing="1" w:line="240" w:lineRule="auto"/>
        <w:jc w:val="both"/>
        <w:rPr>
          <w:rFonts w:eastAsia="Times New Roman" w:cs="Times New Roman"/>
          <w:lang w:val="sq-AL" w:eastAsia="mk-MK"/>
        </w:rPr>
      </w:pPr>
      <w:r w:rsidRPr="00381975">
        <w:rPr>
          <w:rFonts w:eastAsia="Times New Roman" w:cs="Times New Roman"/>
          <w:lang w:val="sq-AL" w:eastAsia="mk-MK"/>
        </w:rPr>
        <w:t xml:space="preserve">Agjencia, duke vepruar sipas një ankese, fillon një procedurë administrative, në një mënyrë që së pari kërkon një deklaratë nga </w:t>
      </w:r>
      <w:r w:rsidRPr="00381975">
        <w:rPr>
          <w:rFonts w:eastAsia="Times New Roman" w:cs="Times New Roman"/>
          <w:lang w:val="sq-AL" w:eastAsia="mk-MK"/>
        </w:rPr>
        <w:t>poseduesi</w:t>
      </w:r>
      <w:r w:rsidRPr="00381975">
        <w:rPr>
          <w:rFonts w:eastAsia="Times New Roman" w:cs="Times New Roman"/>
          <w:lang w:val="sq-AL" w:eastAsia="mk-MK"/>
        </w:rPr>
        <w:t xml:space="preserve"> dhe, duke marrë parasysh të gjitha provat në rast, lëshon një vendim të përshtatshëm, i cili në rast të heshtjes së administratës, më së shpeshti është një vendim me të cilin pranohet ankesa dhe </w:t>
      </w:r>
      <w:r w:rsidRPr="00381975">
        <w:rPr>
          <w:rFonts w:eastAsia="Times New Roman" w:cs="Times New Roman"/>
          <w:lang w:val="sq-AL" w:eastAsia="mk-MK"/>
        </w:rPr>
        <w:t>poseduesi</w:t>
      </w:r>
      <w:r w:rsidRPr="00381975">
        <w:rPr>
          <w:rFonts w:eastAsia="Times New Roman" w:cs="Times New Roman"/>
          <w:lang w:val="sq-AL" w:eastAsia="mk-MK"/>
        </w:rPr>
        <w:t xml:space="preserve"> i informacionit urdhërohet të veprojë sipas kërkesës. </w:t>
      </w:r>
      <w:r w:rsidRPr="00381975">
        <w:rPr>
          <w:rFonts w:eastAsia="Times New Roman" w:cs="Times New Roman"/>
          <w:lang w:val="sq-AL" w:eastAsia="mk-MK"/>
        </w:rPr>
        <w:t>Poseduesi</w:t>
      </w:r>
      <w:r w:rsidRPr="00381975">
        <w:rPr>
          <w:rFonts w:eastAsia="Times New Roman" w:cs="Times New Roman"/>
          <w:lang w:val="sq-AL" w:eastAsia="mk-MK"/>
        </w:rPr>
        <w:t xml:space="preserve"> ka një afat prej 15 ditësh për të përmbushur këtë detyrim dhe për të njoftuar aplikuesin dhe Agjencinë. Këto mekanizma, të parashikuara nga Ligji për Procedurën e Përgjithshme Administrative, janë thelbësore për sigurimin e ligjshmërisë dhe mbrojtjen e interesit publik.</w:t>
      </w:r>
    </w:p>
    <w:p w14:paraId="45D3CACF" w14:textId="202E9645" w:rsidR="000A344F" w:rsidRPr="00381975" w:rsidRDefault="000A476D" w:rsidP="000A344F">
      <w:pPr>
        <w:spacing w:before="100" w:beforeAutospacing="1" w:after="100" w:afterAutospacing="1" w:line="240" w:lineRule="auto"/>
        <w:jc w:val="both"/>
        <w:rPr>
          <w:rFonts w:eastAsia="Times New Roman" w:cs="Times New Roman"/>
          <w:lang w:val="sq-AL" w:eastAsia="mk-MK"/>
        </w:rPr>
      </w:pPr>
      <w:r w:rsidRPr="00381975">
        <w:rPr>
          <w:rFonts w:eastAsia="Times New Roman" w:cs="Times New Roman"/>
          <w:lang w:val="sq-AL" w:eastAsia="mk-MK"/>
        </w:rPr>
        <w:lastRenderedPageBreak/>
        <w:t>Duke pasur parasysh shkallën e lartë të ankesave të paraqitura për shkak të heshtjes administrative, Agjencia ka krijuar një praktikë sistematike të përgatitjes së raporteve analitike kushtuar heshtjes administrative. Këto raporte shërbejnë si një instrument për monitorimin, rritjen e ndërgjegjësimit publik dhe propozimin e reformave në këtë praktikë negative. Roli i tyre në identifikimin e dobësive institucionale dhe nxitjen e llogaridhënies është thelbësor për qeverisjen e mirë dhe zhvillimin demokratik.</w:t>
      </w:r>
    </w:p>
    <w:p w14:paraId="6ECAC321" w14:textId="77777777" w:rsidR="00B2524A" w:rsidRPr="00381975" w:rsidRDefault="00B2524A" w:rsidP="000A344F">
      <w:pPr>
        <w:spacing w:before="100" w:beforeAutospacing="1" w:after="100" w:afterAutospacing="1" w:line="240" w:lineRule="auto"/>
        <w:jc w:val="both"/>
        <w:rPr>
          <w:rFonts w:eastAsia="Times New Roman" w:cs="Times New Roman"/>
          <w:sz w:val="2"/>
          <w:szCs w:val="2"/>
          <w:lang w:val="sq-AL" w:eastAsia="mk-MK"/>
        </w:rPr>
      </w:pPr>
    </w:p>
    <w:p w14:paraId="28BA672E" w14:textId="357B4076" w:rsidR="000A344F" w:rsidRPr="00381975" w:rsidRDefault="000A476D" w:rsidP="000A476D">
      <w:pPr>
        <w:pStyle w:val="ListParagraph"/>
        <w:numPr>
          <w:ilvl w:val="0"/>
          <w:numId w:val="6"/>
        </w:numPr>
        <w:spacing w:before="100" w:beforeAutospacing="1" w:after="100" w:afterAutospacing="1" w:line="240" w:lineRule="auto"/>
        <w:jc w:val="both"/>
        <w:outlineLvl w:val="2"/>
        <w:rPr>
          <w:rFonts w:eastAsia="Times New Roman" w:cs="Times New Roman"/>
          <w:b/>
          <w:bCs/>
          <w:sz w:val="27"/>
          <w:szCs w:val="27"/>
          <w:lang w:val="sq-AL" w:eastAsia="mk-MK"/>
        </w:rPr>
      </w:pPr>
      <w:r w:rsidRPr="00381975">
        <w:rPr>
          <w:b/>
          <w:bCs/>
          <w:sz w:val="27"/>
          <w:szCs w:val="27"/>
          <w:lang w:val="sq-AL"/>
        </w:rPr>
        <w:t>Analiza e numrit dhe karakterit të ankesave për shkak të heshtjes së administratës (1 janar – 30 qershor 2025)</w:t>
      </w:r>
    </w:p>
    <w:p w14:paraId="277B9CE1" w14:textId="77777777" w:rsidR="009251A7" w:rsidRPr="009251A7" w:rsidRDefault="009251A7" w:rsidP="009251A7">
      <w:pPr>
        <w:spacing w:before="100" w:beforeAutospacing="1" w:after="100" w:afterAutospacing="1" w:line="240" w:lineRule="auto"/>
        <w:jc w:val="both"/>
        <w:rPr>
          <w:rFonts w:eastAsia="Times New Roman" w:cs="Times New Roman"/>
          <w:lang w:val="sq-AL" w:eastAsia="mk-MK"/>
        </w:rPr>
      </w:pPr>
      <w:r w:rsidRPr="009251A7">
        <w:rPr>
          <w:rFonts w:eastAsia="Times New Roman" w:cs="Times New Roman"/>
          <w:lang w:val="sq-AL" w:eastAsia="mk-MK"/>
        </w:rPr>
        <w:t xml:space="preserve">Në periudhën e analizuar, në Agjenci u paraqitën gjithsej </w:t>
      </w:r>
      <w:r w:rsidRPr="00B04B2F">
        <w:rPr>
          <w:rFonts w:eastAsia="Times New Roman" w:cs="Times New Roman"/>
          <w:b/>
          <w:lang w:val="sq-AL" w:eastAsia="mk-MK"/>
        </w:rPr>
        <w:t>333 ankesa</w:t>
      </w:r>
      <w:r w:rsidRPr="009251A7">
        <w:rPr>
          <w:rFonts w:eastAsia="Times New Roman" w:cs="Times New Roman"/>
          <w:lang w:val="sq-AL" w:eastAsia="mk-MK"/>
        </w:rPr>
        <w:t xml:space="preserve">, nga të cilat madje </w:t>
      </w:r>
      <w:r w:rsidRPr="00B04B2F">
        <w:rPr>
          <w:rFonts w:eastAsia="Times New Roman" w:cs="Times New Roman"/>
          <w:b/>
          <w:lang w:val="sq-AL" w:eastAsia="mk-MK"/>
        </w:rPr>
        <w:t>234 - ose 70.27%</w:t>
      </w:r>
      <w:r w:rsidRPr="009251A7">
        <w:rPr>
          <w:rFonts w:eastAsia="Times New Roman" w:cs="Times New Roman"/>
          <w:lang w:val="sq-AL" w:eastAsia="mk-MK"/>
        </w:rPr>
        <w:t xml:space="preserve"> - kanë të bëjnë me heshtjen e administratës, përkatësisht mosveprimin ndaj kërkesave për qasje në informacione publike brenda afatit të përcaktuar ligjor. Këto të dhëna përfaqësojnë një vazhdim të trendit shqetësues të vërejtur në vitet e mëparshme dhe tregojnë nevojën për ndërhyrje sistemike.</w:t>
      </w:r>
    </w:p>
    <w:p w14:paraId="0AD5C80E" w14:textId="77777777" w:rsidR="009251A7" w:rsidRPr="00B04B2F" w:rsidRDefault="009251A7" w:rsidP="009251A7">
      <w:pPr>
        <w:spacing w:before="100" w:beforeAutospacing="1" w:after="100" w:afterAutospacing="1" w:line="240" w:lineRule="auto"/>
        <w:jc w:val="both"/>
        <w:rPr>
          <w:rFonts w:eastAsia="Times New Roman" w:cs="Times New Roman"/>
          <w:b/>
          <w:lang w:val="sq-AL" w:eastAsia="mk-MK"/>
        </w:rPr>
      </w:pPr>
      <w:r w:rsidRPr="00B04B2F">
        <w:rPr>
          <w:rFonts w:eastAsia="Times New Roman" w:cs="Times New Roman"/>
          <w:b/>
          <w:lang w:val="sq-AL" w:eastAsia="mk-MK"/>
        </w:rPr>
        <w:t>Institucionet me numrin më të lartë të ankesave për shkak të heshtjes:</w:t>
      </w:r>
    </w:p>
    <w:p w14:paraId="3FA0990E" w14:textId="24D4F213" w:rsidR="00D27CB0" w:rsidRPr="00B04B2F" w:rsidRDefault="009251A7" w:rsidP="00B04B2F">
      <w:pPr>
        <w:spacing w:before="100" w:beforeAutospacing="1" w:after="100" w:afterAutospacing="1" w:line="240" w:lineRule="auto"/>
        <w:jc w:val="both"/>
        <w:rPr>
          <w:rFonts w:eastAsia="Times New Roman" w:cs="Times New Roman"/>
          <w:lang w:val="sq-AL" w:eastAsia="mk-MK"/>
        </w:rPr>
      </w:pPr>
      <w:r w:rsidRPr="00B04B2F">
        <w:rPr>
          <w:rFonts w:eastAsia="Times New Roman" w:cs="Times New Roman"/>
          <w:b/>
          <w:lang w:val="sq-AL" w:eastAsia="mk-MK"/>
        </w:rPr>
        <w:t>Në periudhën nga 01.01.2025 deri më 30.06.2025, më shumë ankesa u paraqitën kundër institucioneve të mëposhtme:</w:t>
      </w:r>
    </w:p>
    <w:p w14:paraId="50C20F96" w14:textId="289545D3" w:rsidR="00B04B2F" w:rsidRPr="00B04B2F" w:rsidRDefault="00B04B2F" w:rsidP="00B04B2F">
      <w:pPr>
        <w:numPr>
          <w:ilvl w:val="0"/>
          <w:numId w:val="1"/>
        </w:numPr>
        <w:spacing w:before="100" w:beforeAutospacing="1" w:after="100" w:afterAutospacing="1" w:line="240" w:lineRule="auto"/>
        <w:jc w:val="both"/>
        <w:rPr>
          <w:rFonts w:eastAsia="Times New Roman" w:cs="Times New Roman"/>
          <w:lang w:val="sq-AL" w:eastAsia="mk-MK"/>
        </w:rPr>
      </w:pPr>
      <w:r w:rsidRPr="00B04B2F">
        <w:rPr>
          <w:rFonts w:eastAsia="Times New Roman" w:cs="Times New Roman"/>
          <w:lang w:val="sq-AL" w:eastAsia="mk-MK"/>
        </w:rPr>
        <w:t>Kundër Ministrisë së Financave – nga gjithsej 51 ankesa, 48 ankesa janë për shkak të heshtjes së administratës,</w:t>
      </w:r>
    </w:p>
    <w:p w14:paraId="3FDCC8D5" w14:textId="5BEC3C09" w:rsidR="00B04B2F" w:rsidRPr="00B04B2F" w:rsidRDefault="00B04B2F" w:rsidP="00B04B2F">
      <w:pPr>
        <w:numPr>
          <w:ilvl w:val="0"/>
          <w:numId w:val="1"/>
        </w:numPr>
        <w:spacing w:before="100" w:beforeAutospacing="1" w:after="100" w:afterAutospacing="1" w:line="240" w:lineRule="auto"/>
        <w:jc w:val="both"/>
        <w:rPr>
          <w:rFonts w:eastAsia="Times New Roman" w:cs="Times New Roman"/>
          <w:lang w:val="sq-AL" w:eastAsia="mk-MK"/>
        </w:rPr>
      </w:pPr>
      <w:r w:rsidRPr="00B04B2F">
        <w:rPr>
          <w:rFonts w:eastAsia="Times New Roman" w:cs="Times New Roman"/>
          <w:lang w:val="sq-AL" w:eastAsia="mk-MK"/>
        </w:rPr>
        <w:t>Kundër Komunës së Dollnenit – 16 dhe të gjitha për shkak të heshtjes,</w:t>
      </w:r>
    </w:p>
    <w:p w14:paraId="141156F8" w14:textId="02316274" w:rsidR="00B04B2F" w:rsidRPr="00B04B2F" w:rsidRDefault="00B04B2F" w:rsidP="00B04B2F">
      <w:pPr>
        <w:numPr>
          <w:ilvl w:val="0"/>
          <w:numId w:val="1"/>
        </w:numPr>
        <w:spacing w:before="100" w:beforeAutospacing="1" w:after="100" w:afterAutospacing="1" w:line="240" w:lineRule="auto"/>
        <w:jc w:val="both"/>
        <w:rPr>
          <w:rFonts w:eastAsia="Times New Roman" w:cs="Times New Roman"/>
          <w:lang w:val="sq-AL" w:eastAsia="mk-MK"/>
        </w:rPr>
      </w:pPr>
      <w:r w:rsidRPr="00B04B2F">
        <w:rPr>
          <w:rFonts w:eastAsia="Times New Roman" w:cs="Times New Roman"/>
          <w:lang w:val="sq-AL" w:eastAsia="mk-MK"/>
        </w:rPr>
        <w:t>Kundër Qytetit të Shkupit – nga gjithsej 13, 9 ankesa janë paraqitur për shkak të heshtjes,</w:t>
      </w:r>
    </w:p>
    <w:p w14:paraId="7842156C" w14:textId="0F409C50" w:rsidR="00B04B2F" w:rsidRPr="00B04B2F" w:rsidRDefault="00B04B2F" w:rsidP="00B04B2F">
      <w:pPr>
        <w:numPr>
          <w:ilvl w:val="0"/>
          <w:numId w:val="1"/>
        </w:numPr>
        <w:spacing w:before="100" w:beforeAutospacing="1" w:after="100" w:afterAutospacing="1" w:line="240" w:lineRule="auto"/>
        <w:jc w:val="both"/>
        <w:rPr>
          <w:rFonts w:eastAsia="Times New Roman" w:cs="Times New Roman"/>
          <w:lang w:val="sq-AL" w:eastAsia="mk-MK"/>
        </w:rPr>
      </w:pPr>
      <w:r w:rsidRPr="00B04B2F">
        <w:rPr>
          <w:rFonts w:eastAsia="Times New Roman" w:cs="Times New Roman"/>
          <w:lang w:val="sq-AL" w:eastAsia="mk-MK"/>
        </w:rPr>
        <w:t>Kundër Komunës së Karposhit – nga gjithsej 12, 9 ankesa janë paraqitur për shkak të heshtjes,</w:t>
      </w:r>
    </w:p>
    <w:p w14:paraId="1A3CCC51" w14:textId="4FE53BE5" w:rsidR="00B04B2F" w:rsidRPr="00B04B2F" w:rsidRDefault="00B04B2F" w:rsidP="00B04B2F">
      <w:pPr>
        <w:numPr>
          <w:ilvl w:val="0"/>
          <w:numId w:val="1"/>
        </w:numPr>
        <w:spacing w:before="100" w:beforeAutospacing="1" w:after="100" w:afterAutospacing="1" w:line="240" w:lineRule="auto"/>
        <w:jc w:val="both"/>
        <w:rPr>
          <w:rFonts w:eastAsia="Times New Roman" w:cs="Times New Roman"/>
          <w:lang w:val="sq-AL" w:eastAsia="mk-MK"/>
        </w:rPr>
      </w:pPr>
      <w:r w:rsidRPr="00B04B2F">
        <w:rPr>
          <w:rFonts w:eastAsia="Times New Roman" w:cs="Times New Roman"/>
          <w:lang w:val="sq-AL" w:eastAsia="mk-MK"/>
        </w:rPr>
        <w:t>Kundër Ministrisë së Shëndetësisë – nga gjithsej 10 ankesa, 9 janë për shkak të heshtjes,</w:t>
      </w:r>
    </w:p>
    <w:p w14:paraId="29771179" w14:textId="206D0AB5" w:rsidR="00B04B2F" w:rsidRPr="00B04B2F" w:rsidRDefault="00B04B2F" w:rsidP="00B04B2F">
      <w:pPr>
        <w:numPr>
          <w:ilvl w:val="0"/>
          <w:numId w:val="1"/>
        </w:numPr>
        <w:spacing w:before="100" w:beforeAutospacing="1" w:after="100" w:afterAutospacing="1" w:line="240" w:lineRule="auto"/>
        <w:jc w:val="both"/>
        <w:rPr>
          <w:rFonts w:eastAsia="Times New Roman" w:cs="Times New Roman"/>
          <w:lang w:val="sq-AL" w:eastAsia="mk-MK"/>
        </w:rPr>
      </w:pPr>
      <w:r w:rsidRPr="00B04B2F">
        <w:rPr>
          <w:rFonts w:eastAsia="Times New Roman" w:cs="Times New Roman"/>
          <w:lang w:val="sq-AL" w:eastAsia="mk-MK"/>
        </w:rPr>
        <w:t>Kundër Komunës së Ohrit – nga gjithsej 7, 6 ankesa janë paraqitur për shkak të heshtjes,</w:t>
      </w:r>
    </w:p>
    <w:p w14:paraId="57E624D3" w14:textId="64A7CC66" w:rsidR="00B04B2F" w:rsidRPr="00B04B2F" w:rsidRDefault="00B04B2F" w:rsidP="00B04B2F">
      <w:pPr>
        <w:numPr>
          <w:ilvl w:val="0"/>
          <w:numId w:val="1"/>
        </w:numPr>
        <w:spacing w:before="100" w:beforeAutospacing="1" w:after="100" w:afterAutospacing="1" w:line="240" w:lineRule="auto"/>
        <w:jc w:val="both"/>
        <w:rPr>
          <w:rFonts w:eastAsia="Times New Roman" w:cs="Times New Roman"/>
          <w:lang w:val="sq-AL" w:eastAsia="mk-MK"/>
        </w:rPr>
      </w:pPr>
      <w:r w:rsidRPr="00B04B2F">
        <w:rPr>
          <w:rFonts w:eastAsia="Times New Roman" w:cs="Times New Roman"/>
          <w:lang w:val="sq-AL" w:eastAsia="mk-MK"/>
        </w:rPr>
        <w:t>Kundër Komunës së Çairit – 6 dhe të gjitha për shkak të heshtjes së administratës,</w:t>
      </w:r>
    </w:p>
    <w:p w14:paraId="331F92A3" w14:textId="0BE86905" w:rsidR="00B04B2F" w:rsidRPr="00B04B2F" w:rsidRDefault="00B04B2F" w:rsidP="00B04B2F">
      <w:pPr>
        <w:numPr>
          <w:ilvl w:val="0"/>
          <w:numId w:val="1"/>
        </w:numPr>
        <w:spacing w:before="100" w:beforeAutospacing="1" w:after="100" w:afterAutospacing="1" w:line="240" w:lineRule="auto"/>
        <w:jc w:val="both"/>
        <w:rPr>
          <w:rFonts w:eastAsia="Times New Roman" w:cs="Times New Roman"/>
          <w:lang w:val="sq-AL" w:eastAsia="mk-MK"/>
        </w:rPr>
      </w:pPr>
      <w:r w:rsidRPr="00B04B2F">
        <w:rPr>
          <w:rFonts w:eastAsia="Times New Roman" w:cs="Times New Roman"/>
          <w:lang w:val="sq-AL" w:eastAsia="mk-MK"/>
        </w:rPr>
        <w:t>Kundër Ministrisë së Sportit – nga 6 ankesa të paraqitura, 3 janë për shkak të heshtjes së administratës,</w:t>
      </w:r>
    </w:p>
    <w:p w14:paraId="5D4944D7" w14:textId="634F22B4" w:rsidR="00B04B2F" w:rsidRPr="00B04B2F" w:rsidRDefault="00B04B2F" w:rsidP="00B04B2F">
      <w:pPr>
        <w:numPr>
          <w:ilvl w:val="0"/>
          <w:numId w:val="1"/>
        </w:numPr>
        <w:spacing w:before="100" w:beforeAutospacing="1" w:after="100" w:afterAutospacing="1" w:line="240" w:lineRule="auto"/>
        <w:jc w:val="both"/>
        <w:rPr>
          <w:rFonts w:eastAsia="Times New Roman" w:cs="Times New Roman"/>
          <w:lang w:val="sq-AL" w:eastAsia="mk-MK"/>
        </w:rPr>
      </w:pPr>
      <w:r w:rsidRPr="00B04B2F">
        <w:rPr>
          <w:rFonts w:eastAsia="Times New Roman" w:cs="Times New Roman"/>
          <w:lang w:val="sq-AL" w:eastAsia="mk-MK"/>
        </w:rPr>
        <w:t>Kundër Ministrisë së Transportit – 5 ankesa, të gjitha për shkak të heshtjes së administratës dhe</w:t>
      </w:r>
    </w:p>
    <w:p w14:paraId="2FBFB1E2" w14:textId="586C9467" w:rsidR="00D27CB0" w:rsidRPr="00381975" w:rsidRDefault="00B04B2F" w:rsidP="00B04B2F">
      <w:pPr>
        <w:numPr>
          <w:ilvl w:val="0"/>
          <w:numId w:val="1"/>
        </w:numPr>
        <w:spacing w:before="100" w:beforeAutospacing="1" w:after="100" w:afterAutospacing="1" w:line="240" w:lineRule="auto"/>
        <w:jc w:val="both"/>
        <w:rPr>
          <w:rFonts w:eastAsia="Times New Roman" w:cs="Times New Roman"/>
          <w:lang w:val="sq-AL" w:eastAsia="mk-MK"/>
        </w:rPr>
      </w:pPr>
      <w:r w:rsidRPr="00B04B2F">
        <w:rPr>
          <w:rFonts w:eastAsia="Times New Roman" w:cs="Times New Roman"/>
          <w:lang w:val="sq-AL" w:eastAsia="mk-MK"/>
        </w:rPr>
        <w:t>Kundër Komunës së Likovës – 5 dhe të gjitha për shkak të heshtjes së administratës dhe</w:t>
      </w:r>
    </w:p>
    <w:p w14:paraId="48E28F2E" w14:textId="77777777" w:rsidR="00B04B2F" w:rsidRPr="00B04B2F" w:rsidRDefault="00B04B2F" w:rsidP="00B04B2F">
      <w:pPr>
        <w:spacing w:before="100" w:beforeAutospacing="1" w:after="100" w:afterAutospacing="1" w:line="240" w:lineRule="auto"/>
        <w:jc w:val="both"/>
        <w:rPr>
          <w:rFonts w:eastAsia="Times New Roman" w:cs="Times New Roman"/>
          <w:lang w:val="sq-AL" w:eastAsia="mk-MK"/>
        </w:rPr>
      </w:pPr>
      <w:r w:rsidRPr="00B04B2F">
        <w:rPr>
          <w:rFonts w:eastAsia="Times New Roman" w:cs="Times New Roman"/>
          <w:lang w:val="sq-AL" w:eastAsia="mk-MK"/>
        </w:rPr>
        <w:t>Të dhënat e mësipërme tregojnë se heshtja e administratës nuk kufizohet vetëm në institucione individuale, por është e përhapur në nivele të ndryshme të qeverisjes dhe në sektorë të ndryshëm, veçanërisht midis organeve të qeverisjes qendrore dhe vendore.</w:t>
      </w:r>
    </w:p>
    <w:p w14:paraId="0DC941F8" w14:textId="58FFD2F5" w:rsidR="00B04B2F" w:rsidRPr="00B04B2F" w:rsidRDefault="00B04B2F" w:rsidP="00B04B2F">
      <w:pPr>
        <w:spacing w:before="100" w:beforeAutospacing="1" w:after="100" w:afterAutospacing="1" w:line="240" w:lineRule="auto"/>
        <w:jc w:val="both"/>
        <w:rPr>
          <w:rFonts w:eastAsia="Times New Roman" w:cs="Times New Roman"/>
          <w:b/>
          <w:lang w:val="sq-AL" w:eastAsia="mk-MK"/>
        </w:rPr>
      </w:pPr>
      <w:r>
        <w:rPr>
          <w:rFonts w:eastAsia="Times New Roman" w:cs="Times New Roman"/>
          <w:b/>
          <w:lang w:val="sq-AL" w:eastAsia="mk-MK"/>
        </w:rPr>
        <w:t>Lëndët</w:t>
      </w:r>
      <w:r w:rsidRPr="00B04B2F">
        <w:rPr>
          <w:rFonts w:eastAsia="Times New Roman" w:cs="Times New Roman"/>
          <w:b/>
          <w:lang w:val="sq-AL" w:eastAsia="mk-MK"/>
        </w:rPr>
        <w:t xml:space="preserve"> e zgjidhura dhe struktura e tyre:</w:t>
      </w:r>
    </w:p>
    <w:p w14:paraId="41C41307" w14:textId="7CF46F54" w:rsidR="00D27CB0" w:rsidRPr="00381975" w:rsidRDefault="00B04B2F" w:rsidP="00B04B2F">
      <w:pPr>
        <w:spacing w:before="100" w:beforeAutospacing="1" w:after="100" w:afterAutospacing="1" w:line="240" w:lineRule="auto"/>
        <w:jc w:val="both"/>
        <w:rPr>
          <w:rFonts w:eastAsia="Times New Roman" w:cs="Times New Roman"/>
          <w:lang w:val="sq-AL" w:eastAsia="mk-MK"/>
        </w:rPr>
      </w:pPr>
      <w:r w:rsidRPr="00B04B2F">
        <w:rPr>
          <w:rFonts w:eastAsia="Times New Roman" w:cs="Times New Roman"/>
          <w:lang w:val="sq-AL" w:eastAsia="mk-MK"/>
        </w:rPr>
        <w:t>Agjencia veproi në të gjitha 333 rastet e ankesave të paraqitura në periudhën raportuese në mënyrën e mëposhtme:</w:t>
      </w:r>
    </w:p>
    <w:p w14:paraId="7F5E4121" w14:textId="77777777" w:rsidR="00B04B2F" w:rsidRDefault="00B04B2F" w:rsidP="00D27CB0">
      <w:pPr>
        <w:pStyle w:val="ListParagraph"/>
        <w:numPr>
          <w:ilvl w:val="0"/>
          <w:numId w:val="8"/>
        </w:numPr>
        <w:spacing w:before="100" w:beforeAutospacing="1" w:after="100" w:afterAutospacing="1" w:line="240" w:lineRule="auto"/>
        <w:ind w:left="426"/>
        <w:jc w:val="both"/>
        <w:rPr>
          <w:rFonts w:eastAsia="Times New Roman" w:cs="Times New Roman"/>
          <w:lang w:val="sq-AL" w:eastAsia="mk-MK"/>
        </w:rPr>
      </w:pPr>
    </w:p>
    <w:p w14:paraId="54BDDC0C" w14:textId="77777777" w:rsidR="00B04B2F" w:rsidRDefault="00B04B2F" w:rsidP="00D27CB0">
      <w:pPr>
        <w:pStyle w:val="ListParagraph"/>
        <w:numPr>
          <w:ilvl w:val="0"/>
          <w:numId w:val="8"/>
        </w:numPr>
        <w:spacing w:before="100" w:beforeAutospacing="1" w:after="100" w:afterAutospacing="1" w:line="240" w:lineRule="auto"/>
        <w:ind w:left="426"/>
        <w:jc w:val="both"/>
        <w:rPr>
          <w:rFonts w:eastAsia="Times New Roman" w:cs="Times New Roman"/>
          <w:lang w:val="sq-AL" w:eastAsia="mk-MK"/>
        </w:rPr>
      </w:pPr>
    </w:p>
    <w:p w14:paraId="7E46B04D" w14:textId="7CBAC4E8" w:rsidR="00B04B2F" w:rsidRPr="00B04B2F" w:rsidRDefault="00B04B2F" w:rsidP="00B04B2F">
      <w:pPr>
        <w:pStyle w:val="ListParagraph"/>
        <w:numPr>
          <w:ilvl w:val="0"/>
          <w:numId w:val="8"/>
        </w:numPr>
        <w:spacing w:before="100" w:beforeAutospacing="1" w:after="100" w:afterAutospacing="1" w:line="240" w:lineRule="auto"/>
        <w:jc w:val="both"/>
        <w:rPr>
          <w:rFonts w:eastAsia="Times New Roman" w:cs="Times New Roman"/>
          <w:lang w:val="sq-AL" w:eastAsia="mk-MK"/>
        </w:rPr>
      </w:pPr>
      <w:r w:rsidRPr="00B04B2F">
        <w:rPr>
          <w:rFonts w:eastAsia="Times New Roman" w:cs="Times New Roman"/>
          <w:lang w:val="sq-AL" w:eastAsia="mk-MK"/>
        </w:rPr>
        <w:lastRenderedPageBreak/>
        <w:t>238 ankesa</w:t>
      </w:r>
      <w:r>
        <w:rPr>
          <w:rFonts w:eastAsia="Times New Roman" w:cs="Times New Roman"/>
          <w:lang w:val="sq-AL" w:eastAsia="mk-MK"/>
        </w:rPr>
        <w:t xml:space="preserve"> të miratuara</w:t>
      </w:r>
      <w:r w:rsidRPr="00B04B2F">
        <w:rPr>
          <w:rFonts w:eastAsia="Times New Roman" w:cs="Times New Roman"/>
          <w:lang w:val="sq-AL" w:eastAsia="mk-MK"/>
        </w:rPr>
        <w:t xml:space="preserve">, nga të cilat 83 u kthyen për rishqyrtim, dhe në 155 prej tyre </w:t>
      </w:r>
      <w:r>
        <w:rPr>
          <w:rFonts w:eastAsia="Times New Roman" w:cs="Times New Roman"/>
          <w:lang w:val="sq-AL" w:eastAsia="mk-MK"/>
        </w:rPr>
        <w:t>poseduesit</w:t>
      </w:r>
      <w:r w:rsidRPr="00B04B2F">
        <w:rPr>
          <w:rFonts w:eastAsia="Times New Roman" w:cs="Times New Roman"/>
          <w:lang w:val="sq-AL" w:eastAsia="mk-MK"/>
        </w:rPr>
        <w:t xml:space="preserve"> e informacionit u urdhëruan të vepronin sipas kërkesës për akses në informacion;</w:t>
      </w:r>
    </w:p>
    <w:p w14:paraId="78E666B1" w14:textId="566EA3DA" w:rsidR="00B04B2F" w:rsidRPr="00B04B2F" w:rsidRDefault="00B04B2F" w:rsidP="00B04B2F">
      <w:pPr>
        <w:pStyle w:val="ListParagraph"/>
        <w:numPr>
          <w:ilvl w:val="0"/>
          <w:numId w:val="8"/>
        </w:numPr>
        <w:spacing w:before="100" w:beforeAutospacing="1" w:after="100" w:afterAutospacing="1" w:line="240" w:lineRule="auto"/>
        <w:jc w:val="both"/>
        <w:rPr>
          <w:rFonts w:eastAsia="Times New Roman" w:cs="Times New Roman"/>
          <w:lang w:val="sq-AL" w:eastAsia="mk-MK"/>
        </w:rPr>
      </w:pPr>
      <w:r w:rsidRPr="00B04B2F">
        <w:rPr>
          <w:rFonts w:eastAsia="Times New Roman" w:cs="Times New Roman"/>
          <w:lang w:val="sq-AL" w:eastAsia="mk-MK"/>
        </w:rPr>
        <w:t xml:space="preserve"> Në 56 ankesa procedura u ndërpre me kërkesë të ankuesit;</w:t>
      </w:r>
    </w:p>
    <w:p w14:paraId="39FE83B8" w14:textId="33043277" w:rsidR="00B04B2F" w:rsidRPr="00B04B2F" w:rsidRDefault="00B04B2F" w:rsidP="00B04B2F">
      <w:pPr>
        <w:pStyle w:val="ListParagraph"/>
        <w:numPr>
          <w:ilvl w:val="0"/>
          <w:numId w:val="8"/>
        </w:numPr>
        <w:spacing w:before="100" w:beforeAutospacing="1" w:after="100" w:afterAutospacing="1" w:line="240" w:lineRule="auto"/>
        <w:jc w:val="both"/>
        <w:rPr>
          <w:rFonts w:eastAsia="Times New Roman" w:cs="Times New Roman"/>
          <w:lang w:val="sq-AL" w:eastAsia="mk-MK"/>
        </w:rPr>
      </w:pPr>
      <w:r w:rsidRPr="00B04B2F">
        <w:rPr>
          <w:rFonts w:eastAsia="Times New Roman" w:cs="Times New Roman"/>
          <w:lang w:val="sq-AL" w:eastAsia="mk-MK"/>
        </w:rPr>
        <w:t>23 ankesa u refuzuan si të pabazuara dhe</w:t>
      </w:r>
    </w:p>
    <w:p w14:paraId="4A892873" w14:textId="779BF6E0" w:rsidR="00D27CB0" w:rsidRPr="00B04B2F" w:rsidRDefault="00B04B2F" w:rsidP="00B04B2F">
      <w:pPr>
        <w:pStyle w:val="ListParagraph"/>
        <w:numPr>
          <w:ilvl w:val="0"/>
          <w:numId w:val="8"/>
        </w:numPr>
        <w:spacing w:before="100" w:beforeAutospacing="1" w:after="100" w:afterAutospacing="1" w:line="240" w:lineRule="auto"/>
        <w:jc w:val="both"/>
        <w:rPr>
          <w:rFonts w:eastAsia="Times New Roman" w:cs="Times New Roman"/>
          <w:lang w:val="sq-AL" w:eastAsia="mk-MK"/>
        </w:rPr>
      </w:pPr>
      <w:r w:rsidRPr="00B04B2F">
        <w:rPr>
          <w:rFonts w:eastAsia="Times New Roman" w:cs="Times New Roman"/>
          <w:lang w:val="sq-AL" w:eastAsia="mk-MK"/>
        </w:rPr>
        <w:t>16 u refuzuan si të papranueshme.</w:t>
      </w:r>
    </w:p>
    <w:p w14:paraId="0AE1A2CA" w14:textId="691DAF44" w:rsidR="00D27CB0" w:rsidRPr="00381975" w:rsidRDefault="00B04B2F" w:rsidP="00B04B2F">
      <w:pPr>
        <w:spacing w:before="100" w:beforeAutospacing="1" w:after="100" w:afterAutospacing="1" w:line="240" w:lineRule="auto"/>
        <w:jc w:val="both"/>
        <w:rPr>
          <w:rFonts w:eastAsia="Times New Roman" w:cs="Times New Roman"/>
          <w:lang w:val="sq-AL" w:eastAsia="mk-MK"/>
        </w:rPr>
      </w:pPr>
      <w:r w:rsidRPr="00B04B2F">
        <w:rPr>
          <w:rFonts w:eastAsia="Times New Roman" w:cs="Times New Roman"/>
          <w:lang w:val="sq-AL" w:eastAsia="mk-MK"/>
        </w:rPr>
        <w:t xml:space="preserve">Nga </w:t>
      </w:r>
      <w:r>
        <w:rPr>
          <w:rFonts w:eastAsia="Times New Roman" w:cs="Times New Roman"/>
          <w:lang w:val="sq-AL" w:eastAsia="mk-MK"/>
        </w:rPr>
        <w:t>gjithsej</w:t>
      </w:r>
      <w:r w:rsidRPr="00B04B2F">
        <w:rPr>
          <w:rFonts w:eastAsia="Times New Roman" w:cs="Times New Roman"/>
          <w:lang w:val="sq-AL" w:eastAsia="mk-MK"/>
        </w:rPr>
        <w:t xml:space="preserve"> 234 ankesa të paraqitura për shkak të heshtjes së administratës, veprimet e Agjencisë rezultuan në rezultatet e mëposhtme pas paraqitjes së ankesave:</w:t>
      </w:r>
    </w:p>
    <w:p w14:paraId="54688F56" w14:textId="409A4522" w:rsidR="00B04B2F" w:rsidRPr="00B04B2F" w:rsidRDefault="00B04B2F" w:rsidP="00B04B2F">
      <w:pPr>
        <w:numPr>
          <w:ilvl w:val="0"/>
          <w:numId w:val="2"/>
        </w:numPr>
        <w:spacing w:before="100" w:beforeAutospacing="1" w:after="100" w:afterAutospacing="1" w:line="240" w:lineRule="auto"/>
        <w:jc w:val="both"/>
        <w:rPr>
          <w:rFonts w:eastAsia="Times New Roman" w:cs="Times New Roman"/>
          <w:lang w:val="sq-AL" w:eastAsia="mk-MK"/>
        </w:rPr>
      </w:pPr>
      <w:r w:rsidRPr="00B04B2F">
        <w:rPr>
          <w:rFonts w:eastAsia="Times New Roman" w:cs="Times New Roman"/>
          <w:b/>
          <w:lang w:val="sq-AL" w:eastAsia="mk-MK"/>
        </w:rPr>
        <w:t>149</w:t>
      </w:r>
      <w:r w:rsidRPr="00B04B2F">
        <w:rPr>
          <w:rFonts w:eastAsia="Times New Roman" w:cs="Times New Roman"/>
          <w:lang w:val="sq-AL" w:eastAsia="mk-MK"/>
        </w:rPr>
        <w:t xml:space="preserve"> Vendime me të cilat Ankesa mbështetet dhe autoriteti i shkallës së parë urdhërohet të veprojë sipas Kërkesës së Kërkuesit,</w:t>
      </w:r>
    </w:p>
    <w:p w14:paraId="4A4FC62F" w14:textId="09D63AD9" w:rsidR="00B04B2F" w:rsidRPr="00B04B2F" w:rsidRDefault="00B04B2F" w:rsidP="00B04B2F">
      <w:pPr>
        <w:numPr>
          <w:ilvl w:val="0"/>
          <w:numId w:val="2"/>
        </w:numPr>
        <w:spacing w:before="100" w:beforeAutospacing="1" w:after="100" w:afterAutospacing="1" w:line="240" w:lineRule="auto"/>
        <w:jc w:val="both"/>
        <w:rPr>
          <w:rFonts w:eastAsia="Times New Roman" w:cs="Times New Roman"/>
          <w:lang w:val="sq-AL" w:eastAsia="mk-MK"/>
        </w:rPr>
      </w:pPr>
      <w:r w:rsidRPr="00B04B2F">
        <w:rPr>
          <w:rFonts w:eastAsia="Times New Roman" w:cs="Times New Roman"/>
          <w:b/>
          <w:lang w:val="sq-AL" w:eastAsia="mk-MK"/>
        </w:rPr>
        <w:t>5</w:t>
      </w:r>
      <w:r w:rsidRPr="00B04B2F">
        <w:rPr>
          <w:rFonts w:eastAsia="Times New Roman" w:cs="Times New Roman"/>
          <w:lang w:val="sq-AL" w:eastAsia="mk-MK"/>
        </w:rPr>
        <w:t xml:space="preserve"> Vendime me të cilat Ankesa refuzohet si e pabazuar,</w:t>
      </w:r>
    </w:p>
    <w:p w14:paraId="7172E126" w14:textId="14076543" w:rsidR="00B04B2F" w:rsidRPr="00B04B2F" w:rsidRDefault="00B04B2F" w:rsidP="00B04B2F">
      <w:pPr>
        <w:numPr>
          <w:ilvl w:val="0"/>
          <w:numId w:val="2"/>
        </w:numPr>
        <w:spacing w:before="100" w:beforeAutospacing="1" w:after="100" w:afterAutospacing="1" w:line="240" w:lineRule="auto"/>
        <w:jc w:val="both"/>
        <w:rPr>
          <w:rFonts w:eastAsia="Times New Roman" w:cs="Times New Roman"/>
          <w:lang w:val="sq-AL" w:eastAsia="mk-MK"/>
        </w:rPr>
      </w:pPr>
      <w:r w:rsidRPr="00B04B2F">
        <w:rPr>
          <w:rFonts w:eastAsia="Times New Roman" w:cs="Times New Roman"/>
          <w:b/>
          <w:lang w:val="sq-AL" w:eastAsia="mk-MK"/>
        </w:rPr>
        <w:t>12</w:t>
      </w:r>
      <w:r w:rsidRPr="00B04B2F">
        <w:rPr>
          <w:rFonts w:eastAsia="Times New Roman" w:cs="Times New Roman"/>
          <w:lang w:val="sq-AL" w:eastAsia="mk-MK"/>
        </w:rPr>
        <w:t xml:space="preserve"> Vendime me të cilat Ankesa refuzohet si e papranueshme,</w:t>
      </w:r>
    </w:p>
    <w:p w14:paraId="5F34541B" w14:textId="0BDC173D" w:rsidR="00B04B2F" w:rsidRPr="00B04B2F" w:rsidRDefault="00B04B2F" w:rsidP="00B04B2F">
      <w:pPr>
        <w:numPr>
          <w:ilvl w:val="0"/>
          <w:numId w:val="2"/>
        </w:numPr>
        <w:spacing w:before="100" w:beforeAutospacing="1" w:after="100" w:afterAutospacing="1" w:line="240" w:lineRule="auto"/>
        <w:jc w:val="both"/>
        <w:rPr>
          <w:rFonts w:eastAsia="Times New Roman" w:cs="Times New Roman"/>
          <w:lang w:val="sq-AL" w:eastAsia="mk-MK"/>
        </w:rPr>
      </w:pPr>
      <w:r w:rsidRPr="00B04B2F">
        <w:rPr>
          <w:rFonts w:eastAsia="Times New Roman" w:cs="Times New Roman"/>
          <w:b/>
          <w:lang w:val="sq-AL" w:eastAsia="mk-MK"/>
        </w:rPr>
        <w:t>49</w:t>
      </w:r>
      <w:r w:rsidRPr="00B04B2F">
        <w:rPr>
          <w:rFonts w:eastAsia="Times New Roman" w:cs="Times New Roman"/>
          <w:lang w:val="sq-AL" w:eastAsia="mk-MK"/>
        </w:rPr>
        <w:t xml:space="preserve"> Vendime me të cilat procedura pas një Ankese ndërpritet për shkak të tërheqjes së saj nga Kërkuesi, për shkak të një përgjigjeje të marrë nga mbajtësit gjatë procedurës së shkallës së dytë dhe</w:t>
      </w:r>
    </w:p>
    <w:p w14:paraId="4A743102" w14:textId="46504E62" w:rsidR="00B04B2F" w:rsidRPr="00B04B2F" w:rsidRDefault="00B04B2F" w:rsidP="00B04B2F">
      <w:pPr>
        <w:numPr>
          <w:ilvl w:val="0"/>
          <w:numId w:val="2"/>
        </w:numPr>
        <w:spacing w:before="100" w:beforeAutospacing="1" w:after="100" w:afterAutospacing="1" w:line="240" w:lineRule="auto"/>
        <w:jc w:val="both"/>
        <w:rPr>
          <w:rFonts w:eastAsia="Times New Roman" w:cs="Times New Roman"/>
          <w:lang w:val="sq-AL" w:eastAsia="mk-MK"/>
        </w:rPr>
      </w:pPr>
      <w:r w:rsidRPr="00B04B2F">
        <w:rPr>
          <w:rFonts w:eastAsia="Times New Roman" w:cs="Times New Roman"/>
          <w:b/>
          <w:lang w:val="sq-AL" w:eastAsia="mk-MK"/>
        </w:rPr>
        <w:t xml:space="preserve">19 </w:t>
      </w:r>
      <w:r w:rsidRPr="00B04B2F">
        <w:rPr>
          <w:rFonts w:eastAsia="Times New Roman" w:cs="Times New Roman"/>
          <w:lang w:val="sq-AL" w:eastAsia="mk-MK"/>
        </w:rPr>
        <w:t>i kthehen për reagim mbajtësit të informacionit.</w:t>
      </w:r>
      <w:r w:rsidRPr="00381975">
        <w:rPr>
          <w:rFonts w:eastAsia="Times New Roman" w:cs="Times New Roman"/>
          <w:lang w:val="sq-AL" w:eastAsia="mk-MK"/>
        </w:rPr>
        <w:t xml:space="preserve"> </w:t>
      </w:r>
    </w:p>
    <w:p w14:paraId="636FFD2E" w14:textId="26618139" w:rsidR="00D27CB0" w:rsidRPr="00381975" w:rsidRDefault="00D17B0C" w:rsidP="00D17B0C">
      <w:pPr>
        <w:spacing w:before="100" w:beforeAutospacing="1" w:after="100" w:afterAutospacing="1" w:line="240" w:lineRule="auto"/>
        <w:jc w:val="center"/>
        <w:rPr>
          <w:rFonts w:eastAsia="Times New Roman" w:cs="Times New Roman"/>
          <w:lang w:val="sq-AL" w:eastAsia="mk-MK"/>
        </w:rPr>
      </w:pPr>
      <w:r>
        <w:rPr>
          <w:noProof/>
          <w:lang w:val="sq-AL" w:eastAsia="sq-AL"/>
        </w:rPr>
        <w:drawing>
          <wp:inline distT="0" distB="0" distL="0" distR="0" wp14:anchorId="05A73197" wp14:editId="49F3B77E">
            <wp:extent cx="5731510" cy="2631440"/>
            <wp:effectExtent l="0" t="0" r="2540" b="16510"/>
            <wp:docPr id="1" name="Chart 1">
              <a:extLst xmlns:a="http://schemas.openxmlformats.org/drawingml/2006/main">
                <a:ext uri="{FF2B5EF4-FFF2-40B4-BE49-F238E27FC236}">
                  <a16:creationId xmlns:a16="http://schemas.microsoft.com/office/drawing/2014/main" id="{BA9F854F-F346-B7E1-F0AD-D2378114E2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7BE44E" w14:textId="1E783B8E" w:rsidR="00D17B0C" w:rsidRDefault="00D17B0C" w:rsidP="000A344F">
      <w:pPr>
        <w:spacing w:before="100" w:beforeAutospacing="1" w:after="100" w:afterAutospacing="1" w:line="240" w:lineRule="auto"/>
        <w:jc w:val="both"/>
        <w:rPr>
          <w:rFonts w:eastAsia="Times New Roman" w:cs="Times New Roman"/>
          <w:lang w:val="sq-AL" w:eastAsia="mk-MK"/>
        </w:rPr>
      </w:pPr>
      <w:r w:rsidRPr="00D17B0C">
        <w:rPr>
          <w:rFonts w:eastAsia="Times New Roman" w:cs="Times New Roman"/>
          <w:lang w:val="sq-AL" w:eastAsia="mk-MK"/>
        </w:rPr>
        <w:t xml:space="preserve">Duke vepruar mbi ankesat e përsëritura të paraqitura nga kërkuesit e informacionit të cilët nuk iu përmbajtën vendimit të Agjencisë, u miratuan 77 vendime meritore, nga të cilat 64 ishin për të detyruar </w:t>
      </w:r>
      <w:r>
        <w:rPr>
          <w:rFonts w:eastAsia="Times New Roman" w:cs="Times New Roman"/>
          <w:lang w:val="sq-AL" w:eastAsia="mk-MK"/>
        </w:rPr>
        <w:t>poseduesin</w:t>
      </w:r>
      <w:r w:rsidRPr="00D17B0C">
        <w:rPr>
          <w:rFonts w:eastAsia="Times New Roman" w:cs="Times New Roman"/>
          <w:lang w:val="sq-AL" w:eastAsia="mk-MK"/>
        </w:rPr>
        <w:t xml:space="preserve"> e informacionit të ofrojë informacionin e kërkuar nga kërkuesi në mënyrën dhe formën e kërkuar, 12 vendime ishin për të refuzuar ankesën dhe 1 ishte për të ndaluar procedurën. </w:t>
      </w:r>
    </w:p>
    <w:p w14:paraId="2AA4B66E" w14:textId="2D15B698" w:rsidR="005152F6" w:rsidRPr="00D17B0C" w:rsidRDefault="00D17B0C" w:rsidP="00D17B0C">
      <w:pPr>
        <w:spacing w:before="100" w:beforeAutospacing="1" w:after="100" w:afterAutospacing="1" w:line="240" w:lineRule="auto"/>
        <w:jc w:val="both"/>
        <w:rPr>
          <w:rFonts w:eastAsia="Times New Roman" w:cs="Times New Roman"/>
          <w:lang w:val="sq-AL" w:eastAsia="mk-MK"/>
        </w:rPr>
      </w:pPr>
      <w:r w:rsidRPr="00D17B0C">
        <w:rPr>
          <w:rFonts w:eastAsia="Times New Roman" w:cs="Times New Roman"/>
          <w:lang w:val="sq-AL" w:eastAsia="mk-MK"/>
        </w:rPr>
        <w:t>Numri i madh i vendimeve me objektive tregon mungesë gatishmërie ose rezistencë sistematike të institucioneve për të vepruar mbi kërkesat për qasje në informacion derisa ato të përcaktohen zyrtarisht të kalojnë nëpër një procedurë ankimimi për Agjencinë. Kjo jo vetëm që tregon një nivel të ulët të kulturës institucionale të llogaridhënies dhe transparencës proaktive, por gjithashtu rezulton në një rritje të panevojshme të barrës administrative të Agjencisë, e cila përdoret gjithnjë e më shumë si një mekanizëm korrigjues në vend që të jetë mjeti i fundit në procedurë. Në të njëjtën kohë, kjo praktikë krijon pengesa shtesë për kërkuesit, të cilët në vend të aksesit të shpejtë dhe efikas, përballen me pengesa administrative, barriera ligjore, vonesa të gjata dhe demotivim institucional.</w:t>
      </w:r>
    </w:p>
    <w:p w14:paraId="7DBF7D26" w14:textId="647CACEA" w:rsidR="000A344F" w:rsidRPr="00381975" w:rsidRDefault="00D17B0C" w:rsidP="00B2524A">
      <w:pPr>
        <w:pStyle w:val="ListParagraph"/>
        <w:numPr>
          <w:ilvl w:val="0"/>
          <w:numId w:val="6"/>
        </w:numPr>
        <w:spacing w:before="100" w:beforeAutospacing="1" w:after="100" w:afterAutospacing="1" w:line="240" w:lineRule="auto"/>
        <w:jc w:val="both"/>
        <w:outlineLvl w:val="2"/>
        <w:rPr>
          <w:rFonts w:eastAsia="Times New Roman" w:cs="Times New Roman"/>
          <w:b/>
          <w:bCs/>
          <w:sz w:val="27"/>
          <w:szCs w:val="27"/>
          <w:lang w:val="sq-AL" w:eastAsia="mk-MK"/>
        </w:rPr>
      </w:pPr>
      <w:r>
        <w:rPr>
          <w:rFonts w:eastAsia="Times New Roman" w:cs="Times New Roman"/>
          <w:b/>
          <w:bCs/>
          <w:sz w:val="27"/>
          <w:szCs w:val="27"/>
          <w:lang w:val="sq-AL" w:eastAsia="mk-MK"/>
        </w:rPr>
        <w:lastRenderedPageBreak/>
        <w:t>ANALIZA E TRENDEVE DHE KRAHASIMI I VITEVE TË KALUARA</w:t>
      </w:r>
    </w:p>
    <w:p w14:paraId="36311E3B" w14:textId="64AA65C4" w:rsidR="000A344F" w:rsidRPr="00381975" w:rsidRDefault="005D50CF" w:rsidP="000A344F">
      <w:pPr>
        <w:spacing w:before="100" w:beforeAutospacing="1" w:after="100" w:afterAutospacing="1" w:line="240" w:lineRule="auto"/>
        <w:jc w:val="both"/>
        <w:rPr>
          <w:rFonts w:eastAsia="Times New Roman" w:cs="Times New Roman"/>
          <w:lang w:val="sq-AL" w:eastAsia="mk-MK"/>
        </w:rPr>
      </w:pPr>
      <w:r w:rsidRPr="005D50CF">
        <w:rPr>
          <w:rFonts w:eastAsia="Times New Roman" w:cs="Times New Roman"/>
          <w:lang w:val="sq-AL" w:eastAsia="mk-MK"/>
        </w:rPr>
        <w:t>Një krahasim i të dhënave mbi heshtjen administrative gjatë pesë viteve të fundit tregon një trend të qëndrueshëm, por të papranueshëm: heshtja administrative është vazhdimisht e pranishme në midis 60% dhe 80% të ankesave të paraqitura.</w:t>
      </w:r>
    </w:p>
    <w:tbl>
      <w:tblPr>
        <w:tblW w:w="91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3674"/>
        <w:gridCol w:w="3663"/>
      </w:tblGrid>
      <w:tr w:rsidR="00CE260E" w:rsidRPr="00381975" w14:paraId="531FC06A" w14:textId="77777777" w:rsidTr="005152F6">
        <w:trPr>
          <w:trHeight w:val="991"/>
        </w:trPr>
        <w:tc>
          <w:tcPr>
            <w:tcW w:w="1779" w:type="dxa"/>
          </w:tcPr>
          <w:p w14:paraId="03C86A3B" w14:textId="2B01C10D" w:rsidR="00CE260E" w:rsidRPr="00381975" w:rsidRDefault="005D50CF" w:rsidP="00BE38F5">
            <w:pPr>
              <w:pStyle w:val="Default"/>
              <w:rPr>
                <w:rFonts w:ascii="StobiSerif Regular" w:hAnsi="StobiSerif Regular"/>
                <w:lang w:val="sq-AL"/>
              </w:rPr>
            </w:pPr>
            <w:r>
              <w:rPr>
                <w:rFonts w:ascii="StobiSerif Regular" w:hAnsi="StobiSerif Regular"/>
                <w:b/>
                <w:bCs/>
                <w:lang w:val="sq-AL"/>
              </w:rPr>
              <w:t xml:space="preserve">Viti </w:t>
            </w:r>
            <w:r w:rsidR="00CE260E" w:rsidRPr="00381975">
              <w:rPr>
                <w:rFonts w:ascii="StobiSerif Regular" w:hAnsi="StobiSerif Regular"/>
                <w:b/>
                <w:bCs/>
                <w:lang w:val="sq-AL"/>
              </w:rPr>
              <w:t xml:space="preserve"> </w:t>
            </w:r>
          </w:p>
        </w:tc>
        <w:tc>
          <w:tcPr>
            <w:tcW w:w="3674" w:type="dxa"/>
          </w:tcPr>
          <w:p w14:paraId="3AA01826" w14:textId="6C0B32EC" w:rsidR="00CE260E" w:rsidRPr="00381975" w:rsidRDefault="005D50CF" w:rsidP="005D50CF">
            <w:pPr>
              <w:pStyle w:val="Default"/>
              <w:rPr>
                <w:rFonts w:ascii="StobiSerif Regular" w:hAnsi="StobiSerif Regular"/>
                <w:lang w:val="sq-AL"/>
              </w:rPr>
            </w:pPr>
            <w:r>
              <w:rPr>
                <w:rFonts w:ascii="StobiSerif Regular" w:hAnsi="StobiSerif Regular"/>
                <w:b/>
                <w:bCs/>
                <w:lang w:val="sq-AL"/>
              </w:rPr>
              <w:t>Ankesa të dorëzuara në Agjenci për shkak të heshtjes</w:t>
            </w:r>
            <w:r w:rsidR="00CE260E" w:rsidRPr="00381975">
              <w:rPr>
                <w:rFonts w:ascii="StobiSerif Regular" w:hAnsi="StobiSerif Regular"/>
                <w:b/>
                <w:bCs/>
                <w:lang w:val="sq-AL"/>
              </w:rPr>
              <w:t xml:space="preserve"> </w:t>
            </w:r>
          </w:p>
        </w:tc>
        <w:tc>
          <w:tcPr>
            <w:tcW w:w="3663" w:type="dxa"/>
          </w:tcPr>
          <w:p w14:paraId="2ACB44EB" w14:textId="08C5782A" w:rsidR="00CE260E" w:rsidRPr="00381975" w:rsidRDefault="005D50CF" w:rsidP="005D50CF">
            <w:pPr>
              <w:pStyle w:val="Default"/>
              <w:rPr>
                <w:rFonts w:ascii="StobiSerif Regular" w:hAnsi="StobiSerif Regular"/>
                <w:lang w:val="sq-AL"/>
              </w:rPr>
            </w:pPr>
            <w:r>
              <w:rPr>
                <w:rFonts w:ascii="StobiSerif Regular" w:hAnsi="StobiSerif Regular"/>
                <w:b/>
                <w:bCs/>
                <w:lang w:val="sq-AL"/>
              </w:rPr>
              <w:t>Numri i përgjithshëm i Ankesave</w:t>
            </w:r>
            <w:r w:rsidR="00CE260E" w:rsidRPr="00381975">
              <w:rPr>
                <w:rFonts w:ascii="StobiSerif Regular" w:hAnsi="StobiSerif Regular"/>
                <w:b/>
                <w:bCs/>
                <w:lang w:val="sq-AL"/>
              </w:rPr>
              <w:t xml:space="preserve"> </w:t>
            </w:r>
          </w:p>
        </w:tc>
      </w:tr>
      <w:tr w:rsidR="00CE260E" w:rsidRPr="00381975" w14:paraId="3CFED6D1" w14:textId="77777777" w:rsidTr="0070569B">
        <w:trPr>
          <w:trHeight w:val="667"/>
        </w:trPr>
        <w:tc>
          <w:tcPr>
            <w:tcW w:w="1779" w:type="dxa"/>
          </w:tcPr>
          <w:p w14:paraId="1D0682F3" w14:textId="37840D40" w:rsidR="00CE260E" w:rsidRPr="00381975" w:rsidRDefault="00CE260E" w:rsidP="00BE38F5">
            <w:pPr>
              <w:pStyle w:val="Default"/>
              <w:rPr>
                <w:rFonts w:ascii="StobiSerif Regular" w:hAnsi="StobiSerif Regular"/>
                <w:lang w:val="sq-AL"/>
              </w:rPr>
            </w:pPr>
            <w:r w:rsidRPr="00381975">
              <w:rPr>
                <w:rFonts w:ascii="StobiSerif Regular" w:hAnsi="StobiSerif Regular"/>
                <w:lang w:val="sq-AL"/>
              </w:rPr>
              <w:t>2024</w:t>
            </w:r>
          </w:p>
        </w:tc>
        <w:tc>
          <w:tcPr>
            <w:tcW w:w="3674" w:type="dxa"/>
          </w:tcPr>
          <w:p w14:paraId="1DDA561B" w14:textId="2680A54C" w:rsidR="00CE260E" w:rsidRPr="00381975" w:rsidRDefault="00CE260E" w:rsidP="00BE38F5">
            <w:pPr>
              <w:pStyle w:val="Default"/>
              <w:rPr>
                <w:rFonts w:ascii="StobiSerif Regular" w:hAnsi="StobiSerif Regular"/>
                <w:lang w:val="sq-AL"/>
              </w:rPr>
            </w:pPr>
            <w:r w:rsidRPr="00381975">
              <w:rPr>
                <w:rFonts w:ascii="StobiSerif Regular" w:hAnsi="StobiSerif Regular"/>
                <w:lang w:val="sq-AL"/>
              </w:rPr>
              <w:t>245-69%</w:t>
            </w:r>
          </w:p>
        </w:tc>
        <w:tc>
          <w:tcPr>
            <w:tcW w:w="3663" w:type="dxa"/>
          </w:tcPr>
          <w:p w14:paraId="5C261BA1" w14:textId="2A0DB2B4" w:rsidR="00CE260E" w:rsidRPr="00381975" w:rsidRDefault="00CE260E" w:rsidP="00BE38F5">
            <w:pPr>
              <w:pStyle w:val="Default"/>
              <w:rPr>
                <w:rFonts w:ascii="StobiSerif Regular" w:hAnsi="StobiSerif Regular"/>
                <w:lang w:val="sq-AL"/>
              </w:rPr>
            </w:pPr>
            <w:r w:rsidRPr="00381975">
              <w:rPr>
                <w:rFonts w:ascii="StobiSerif Regular" w:hAnsi="StobiSerif Regular"/>
                <w:lang w:val="sq-AL"/>
              </w:rPr>
              <w:t>354</w:t>
            </w:r>
          </w:p>
        </w:tc>
      </w:tr>
      <w:tr w:rsidR="00CE260E" w:rsidRPr="00381975" w14:paraId="6F27322A" w14:textId="77777777" w:rsidTr="0070569B">
        <w:trPr>
          <w:trHeight w:val="825"/>
        </w:trPr>
        <w:tc>
          <w:tcPr>
            <w:tcW w:w="1779" w:type="dxa"/>
          </w:tcPr>
          <w:p w14:paraId="04258292" w14:textId="77777777" w:rsidR="00CE260E" w:rsidRPr="00381975" w:rsidRDefault="00CE260E" w:rsidP="00BE38F5">
            <w:pPr>
              <w:pStyle w:val="Default"/>
              <w:rPr>
                <w:rFonts w:ascii="StobiSerif Regular" w:hAnsi="StobiSerif Regular"/>
                <w:lang w:val="sq-AL"/>
              </w:rPr>
            </w:pPr>
            <w:r w:rsidRPr="00381975">
              <w:rPr>
                <w:rFonts w:ascii="StobiSerif Regular" w:hAnsi="StobiSerif Regular"/>
                <w:lang w:val="sq-AL"/>
              </w:rPr>
              <w:t>2023</w:t>
            </w:r>
          </w:p>
        </w:tc>
        <w:tc>
          <w:tcPr>
            <w:tcW w:w="3674" w:type="dxa"/>
          </w:tcPr>
          <w:p w14:paraId="2E0EC945" w14:textId="77777777" w:rsidR="00CE260E" w:rsidRPr="00381975" w:rsidRDefault="00CE260E" w:rsidP="00BE38F5">
            <w:pPr>
              <w:pStyle w:val="Default"/>
              <w:rPr>
                <w:rFonts w:ascii="StobiSerif Regular" w:hAnsi="StobiSerif Regular"/>
                <w:lang w:val="sq-AL"/>
              </w:rPr>
            </w:pPr>
            <w:r w:rsidRPr="00381975">
              <w:rPr>
                <w:rFonts w:ascii="StobiSerif Regular" w:hAnsi="StobiSerif Regular"/>
                <w:lang w:val="sq-AL"/>
              </w:rPr>
              <w:t>277 - 61%</w:t>
            </w:r>
          </w:p>
        </w:tc>
        <w:tc>
          <w:tcPr>
            <w:tcW w:w="3663" w:type="dxa"/>
          </w:tcPr>
          <w:p w14:paraId="084C38AE" w14:textId="77777777" w:rsidR="00CE260E" w:rsidRPr="00381975" w:rsidRDefault="00CE260E" w:rsidP="00BE38F5">
            <w:pPr>
              <w:pStyle w:val="Default"/>
              <w:rPr>
                <w:rFonts w:ascii="StobiSerif Regular" w:hAnsi="StobiSerif Regular"/>
                <w:lang w:val="sq-AL"/>
              </w:rPr>
            </w:pPr>
            <w:r w:rsidRPr="00381975">
              <w:rPr>
                <w:rFonts w:ascii="StobiSerif Regular" w:hAnsi="StobiSerif Regular"/>
                <w:lang w:val="sq-AL"/>
              </w:rPr>
              <w:t>453</w:t>
            </w:r>
          </w:p>
        </w:tc>
      </w:tr>
      <w:tr w:rsidR="00CE260E" w:rsidRPr="00381975" w14:paraId="6284BC1B" w14:textId="77777777" w:rsidTr="0070569B">
        <w:trPr>
          <w:trHeight w:val="410"/>
        </w:trPr>
        <w:tc>
          <w:tcPr>
            <w:tcW w:w="1779" w:type="dxa"/>
          </w:tcPr>
          <w:p w14:paraId="4DBC75FC" w14:textId="77777777" w:rsidR="00CE260E" w:rsidRPr="00381975" w:rsidRDefault="00CE260E" w:rsidP="00BE38F5">
            <w:pPr>
              <w:pStyle w:val="Default"/>
              <w:rPr>
                <w:rFonts w:ascii="StobiSerif Regular" w:hAnsi="StobiSerif Regular"/>
                <w:lang w:val="sq-AL"/>
              </w:rPr>
            </w:pPr>
            <w:r w:rsidRPr="00381975">
              <w:rPr>
                <w:rFonts w:ascii="StobiSerif Regular" w:hAnsi="StobiSerif Regular"/>
                <w:lang w:val="sq-AL"/>
              </w:rPr>
              <w:t xml:space="preserve">2022 </w:t>
            </w:r>
          </w:p>
        </w:tc>
        <w:tc>
          <w:tcPr>
            <w:tcW w:w="3674" w:type="dxa"/>
          </w:tcPr>
          <w:p w14:paraId="520720C8" w14:textId="77777777" w:rsidR="00CE260E" w:rsidRPr="00381975" w:rsidRDefault="00CE260E" w:rsidP="00BE38F5">
            <w:pPr>
              <w:pStyle w:val="Default"/>
              <w:rPr>
                <w:rFonts w:ascii="StobiSerif Regular" w:hAnsi="StobiSerif Regular"/>
                <w:lang w:val="sq-AL"/>
              </w:rPr>
            </w:pPr>
            <w:r w:rsidRPr="00381975">
              <w:rPr>
                <w:rFonts w:ascii="StobiSerif Regular" w:hAnsi="StobiSerif Regular"/>
                <w:lang w:val="sq-AL"/>
              </w:rPr>
              <w:t xml:space="preserve">211 – 62 % </w:t>
            </w:r>
          </w:p>
        </w:tc>
        <w:tc>
          <w:tcPr>
            <w:tcW w:w="3663" w:type="dxa"/>
          </w:tcPr>
          <w:p w14:paraId="7681897F" w14:textId="77777777" w:rsidR="00CE260E" w:rsidRPr="00381975" w:rsidRDefault="00CE260E" w:rsidP="00BE38F5">
            <w:pPr>
              <w:pStyle w:val="Default"/>
              <w:rPr>
                <w:rFonts w:ascii="StobiSerif Regular" w:hAnsi="StobiSerif Regular"/>
                <w:lang w:val="sq-AL"/>
              </w:rPr>
            </w:pPr>
            <w:r w:rsidRPr="00381975">
              <w:rPr>
                <w:rFonts w:ascii="StobiSerif Regular" w:hAnsi="StobiSerif Regular"/>
                <w:lang w:val="sq-AL"/>
              </w:rPr>
              <w:t xml:space="preserve">343 </w:t>
            </w:r>
          </w:p>
        </w:tc>
      </w:tr>
      <w:tr w:rsidR="00CE260E" w:rsidRPr="00381975" w14:paraId="0A88C510" w14:textId="77777777" w:rsidTr="0070569B">
        <w:trPr>
          <w:trHeight w:val="410"/>
        </w:trPr>
        <w:tc>
          <w:tcPr>
            <w:tcW w:w="1779" w:type="dxa"/>
          </w:tcPr>
          <w:p w14:paraId="1931321A" w14:textId="77777777" w:rsidR="00CE260E" w:rsidRPr="00381975" w:rsidRDefault="00CE260E" w:rsidP="00BE38F5">
            <w:pPr>
              <w:pStyle w:val="Default"/>
              <w:rPr>
                <w:rFonts w:ascii="StobiSerif Regular" w:hAnsi="StobiSerif Regular"/>
                <w:lang w:val="sq-AL"/>
              </w:rPr>
            </w:pPr>
            <w:r w:rsidRPr="00381975">
              <w:rPr>
                <w:rFonts w:ascii="StobiSerif Regular" w:hAnsi="StobiSerif Regular"/>
                <w:lang w:val="sq-AL"/>
              </w:rPr>
              <w:t xml:space="preserve">2021 </w:t>
            </w:r>
          </w:p>
        </w:tc>
        <w:tc>
          <w:tcPr>
            <w:tcW w:w="3674" w:type="dxa"/>
          </w:tcPr>
          <w:p w14:paraId="0F5BBE34" w14:textId="77777777" w:rsidR="00CE260E" w:rsidRPr="00381975" w:rsidRDefault="00CE260E" w:rsidP="00BE38F5">
            <w:pPr>
              <w:pStyle w:val="Default"/>
              <w:rPr>
                <w:rFonts w:ascii="StobiSerif Regular" w:hAnsi="StobiSerif Regular"/>
                <w:lang w:val="sq-AL"/>
              </w:rPr>
            </w:pPr>
            <w:r w:rsidRPr="00381975">
              <w:rPr>
                <w:rFonts w:ascii="StobiSerif Regular" w:hAnsi="StobiSerif Regular"/>
                <w:lang w:val="sq-AL"/>
              </w:rPr>
              <w:t xml:space="preserve">359 – 45 % </w:t>
            </w:r>
          </w:p>
        </w:tc>
        <w:tc>
          <w:tcPr>
            <w:tcW w:w="3663" w:type="dxa"/>
          </w:tcPr>
          <w:p w14:paraId="4D9C918E" w14:textId="77777777" w:rsidR="00CE260E" w:rsidRPr="00381975" w:rsidRDefault="00CE260E" w:rsidP="00BE38F5">
            <w:pPr>
              <w:pStyle w:val="Default"/>
              <w:rPr>
                <w:rFonts w:ascii="StobiSerif Regular" w:hAnsi="StobiSerif Regular"/>
                <w:lang w:val="sq-AL"/>
              </w:rPr>
            </w:pPr>
            <w:r w:rsidRPr="00381975">
              <w:rPr>
                <w:rFonts w:ascii="StobiSerif Regular" w:hAnsi="StobiSerif Regular"/>
                <w:lang w:val="sq-AL"/>
              </w:rPr>
              <w:t xml:space="preserve">798 </w:t>
            </w:r>
          </w:p>
        </w:tc>
      </w:tr>
      <w:tr w:rsidR="00CE260E" w:rsidRPr="00381975" w14:paraId="44A98790" w14:textId="77777777" w:rsidTr="0070569B">
        <w:trPr>
          <w:trHeight w:val="410"/>
        </w:trPr>
        <w:tc>
          <w:tcPr>
            <w:tcW w:w="1779" w:type="dxa"/>
          </w:tcPr>
          <w:p w14:paraId="3BFCAD70" w14:textId="77777777" w:rsidR="00CE260E" w:rsidRPr="00381975" w:rsidRDefault="00CE260E" w:rsidP="00BE38F5">
            <w:pPr>
              <w:pStyle w:val="Default"/>
              <w:rPr>
                <w:rFonts w:ascii="StobiSerif Regular" w:hAnsi="StobiSerif Regular"/>
                <w:lang w:val="sq-AL"/>
              </w:rPr>
            </w:pPr>
            <w:r w:rsidRPr="00381975">
              <w:rPr>
                <w:rFonts w:ascii="StobiSerif Regular" w:hAnsi="StobiSerif Regular"/>
                <w:lang w:val="sq-AL"/>
              </w:rPr>
              <w:t xml:space="preserve">2020 </w:t>
            </w:r>
          </w:p>
        </w:tc>
        <w:tc>
          <w:tcPr>
            <w:tcW w:w="3674" w:type="dxa"/>
          </w:tcPr>
          <w:p w14:paraId="6796651F" w14:textId="77777777" w:rsidR="00CE260E" w:rsidRPr="00381975" w:rsidRDefault="00CE260E" w:rsidP="00BE38F5">
            <w:pPr>
              <w:pStyle w:val="Default"/>
              <w:rPr>
                <w:rFonts w:ascii="StobiSerif Regular" w:hAnsi="StobiSerif Regular"/>
                <w:lang w:val="sq-AL"/>
              </w:rPr>
            </w:pPr>
            <w:r w:rsidRPr="00381975">
              <w:rPr>
                <w:rFonts w:ascii="StobiSerif Regular" w:hAnsi="StobiSerif Regular"/>
                <w:lang w:val="sq-AL"/>
              </w:rPr>
              <w:t xml:space="preserve">611 – 81 % </w:t>
            </w:r>
          </w:p>
        </w:tc>
        <w:tc>
          <w:tcPr>
            <w:tcW w:w="3663" w:type="dxa"/>
          </w:tcPr>
          <w:p w14:paraId="0FB24263" w14:textId="77777777" w:rsidR="00CE260E" w:rsidRPr="00381975" w:rsidRDefault="00CE260E" w:rsidP="00BE38F5">
            <w:pPr>
              <w:pStyle w:val="Default"/>
              <w:rPr>
                <w:rFonts w:ascii="StobiSerif Regular" w:hAnsi="StobiSerif Regular"/>
                <w:lang w:val="sq-AL"/>
              </w:rPr>
            </w:pPr>
            <w:r w:rsidRPr="00381975">
              <w:rPr>
                <w:rFonts w:ascii="StobiSerif Regular" w:hAnsi="StobiSerif Regular"/>
                <w:lang w:val="sq-AL"/>
              </w:rPr>
              <w:t xml:space="preserve">752 </w:t>
            </w:r>
          </w:p>
        </w:tc>
      </w:tr>
    </w:tbl>
    <w:p w14:paraId="37B21826" w14:textId="77777777" w:rsidR="00CE260E" w:rsidRPr="00381975" w:rsidRDefault="00CE260E" w:rsidP="00CE260E">
      <w:pPr>
        <w:rPr>
          <w:rFonts w:eastAsia="Times New Roman" w:cs="Times New Roman"/>
          <w:sz w:val="4"/>
          <w:szCs w:val="4"/>
          <w:lang w:val="sq-AL" w:eastAsia="mk-MK"/>
        </w:rPr>
      </w:pPr>
    </w:p>
    <w:p w14:paraId="76035727" w14:textId="7529E998" w:rsidR="000D738B" w:rsidRPr="00381975" w:rsidRDefault="005D50CF" w:rsidP="00CE260E">
      <w:pPr>
        <w:jc w:val="center"/>
        <w:rPr>
          <w:b/>
          <w:bCs/>
          <w:i/>
          <w:iCs/>
          <w:sz w:val="20"/>
          <w:szCs w:val="20"/>
          <w:lang w:val="sq-AL"/>
        </w:rPr>
      </w:pPr>
      <w:r w:rsidRPr="005D50CF">
        <w:rPr>
          <w:b/>
          <w:bCs/>
          <w:i/>
          <w:iCs/>
          <w:sz w:val="20"/>
          <w:szCs w:val="20"/>
          <w:lang w:val="sq-AL"/>
        </w:rPr>
        <w:t>Heshtja e administratës si arsye për të paraqitur një ankesë në Agjenci</w:t>
      </w:r>
    </w:p>
    <w:p w14:paraId="5F7D0AFB" w14:textId="77777777" w:rsidR="000D738B" w:rsidRPr="00381975" w:rsidRDefault="000D738B" w:rsidP="000D738B">
      <w:pPr>
        <w:rPr>
          <w:b/>
          <w:bCs/>
          <w:i/>
          <w:iCs/>
          <w:sz w:val="4"/>
          <w:szCs w:val="4"/>
          <w:lang w:val="sq-AL"/>
        </w:rPr>
      </w:pPr>
    </w:p>
    <w:p w14:paraId="4781F8E0" w14:textId="49AF7418" w:rsidR="005D50CF" w:rsidRPr="005D50CF" w:rsidRDefault="005D50CF" w:rsidP="005D50CF">
      <w:pPr>
        <w:spacing w:before="100" w:beforeAutospacing="1" w:after="100" w:afterAutospacing="1" w:line="240" w:lineRule="auto"/>
        <w:jc w:val="both"/>
        <w:rPr>
          <w:rFonts w:eastAsia="Times New Roman" w:cs="Times New Roman"/>
          <w:lang w:val="sq-AL" w:eastAsia="mk-MK"/>
        </w:rPr>
      </w:pPr>
      <w:r w:rsidRPr="005D50CF">
        <w:rPr>
          <w:rFonts w:eastAsia="Times New Roman" w:cs="Times New Roman"/>
          <w:lang w:val="sq-AL" w:eastAsia="mk-MK"/>
        </w:rPr>
        <w:t>Edhe pse ka disa luhatje në numrin e përgjithshëm të ankesave, përqindja e atyre që i referohen heshtjes së administratës mbetet e lartë dhe e qëndrueshme, me një rënie të lehtë në vitin 2021, por duke u rikthyer në një nivel të lartë në tre vitet e fundit. Kjo tregon një mosinteres të thellë institucional për të respektuar Ligjin për Qasje të Lirë në Informacion</w:t>
      </w:r>
      <w:r>
        <w:rPr>
          <w:rFonts w:eastAsia="Times New Roman" w:cs="Times New Roman"/>
          <w:lang w:val="sq-AL" w:eastAsia="mk-MK"/>
        </w:rPr>
        <w:t>e me Karakter</w:t>
      </w:r>
      <w:r w:rsidRPr="005D50CF">
        <w:rPr>
          <w:rFonts w:eastAsia="Times New Roman" w:cs="Times New Roman"/>
          <w:lang w:val="sq-AL" w:eastAsia="mk-MK"/>
        </w:rPr>
        <w:t xml:space="preserve"> Publik.</w:t>
      </w:r>
    </w:p>
    <w:p w14:paraId="603577AC" w14:textId="77777777" w:rsidR="005D50CF" w:rsidRPr="005D50CF" w:rsidRDefault="005D50CF" w:rsidP="005D50CF">
      <w:pPr>
        <w:spacing w:before="100" w:beforeAutospacing="1" w:after="100" w:afterAutospacing="1" w:line="240" w:lineRule="auto"/>
        <w:jc w:val="both"/>
        <w:rPr>
          <w:rFonts w:eastAsia="Times New Roman" w:cs="Times New Roman"/>
          <w:lang w:val="sq-AL" w:eastAsia="mk-MK"/>
        </w:rPr>
      </w:pPr>
      <w:r w:rsidRPr="005D50CF">
        <w:rPr>
          <w:rFonts w:eastAsia="Times New Roman" w:cs="Times New Roman"/>
          <w:lang w:val="sq-AL" w:eastAsia="mk-MK"/>
        </w:rPr>
        <w:t>Shqetësues është veçanërisht fakti që të njëjtat institucione - si Qyteti i Shkupit dhe Komuna e Ohrit, si dhe Ministria e Financave dhe Ministritë e Shëndetësisë dhe Transportit - përsëriten si mbajtës të së drejtës ligjore për të aksesuar informacion. Kjo tregon një problem kronik institucional, në vend të dështimeve individuale ose të kufizuara në kohë.</w:t>
      </w:r>
    </w:p>
    <w:p w14:paraId="399D2BC4" w14:textId="7E3CFA91" w:rsidR="006004AA" w:rsidRPr="00381975" w:rsidRDefault="005D50CF" w:rsidP="005D50CF">
      <w:pPr>
        <w:spacing w:before="100" w:beforeAutospacing="1" w:after="100" w:afterAutospacing="1" w:line="240" w:lineRule="auto"/>
        <w:jc w:val="both"/>
        <w:rPr>
          <w:rFonts w:eastAsia="Times New Roman" w:cs="Times New Roman"/>
          <w:lang w:val="sq-AL" w:eastAsia="mk-MK"/>
        </w:rPr>
      </w:pPr>
      <w:r w:rsidRPr="005D50CF">
        <w:rPr>
          <w:rFonts w:eastAsia="Times New Roman" w:cs="Times New Roman"/>
          <w:lang w:val="sq-AL" w:eastAsia="mk-MK"/>
        </w:rPr>
        <w:t>Përveç kësaj, numri i ankesave si numër absolut ndryshon, por mbetet i lartë, duke sugjeruar që qytetarët, gazetarët dhe organizatat e shoqërisë civile e njohin gjithnjë e më shumë heshtjen si një tregues të mungesës së transparencës dhe kërkojnë përgjigje institucionale duke paraqitur ankesa në Agjenci. Nga ana tjetër, kjo tregon gjithashtu një barrë institucionale në rritje mbi Agjencinë, e cila duhet të ndërmarrë veprime aty ku institucionet nuk arrijnë të përmbushin detyrimin e tyre themelor - t'u përgjigjen kërkesave të paraqitura brenda afatit ligjor.</w:t>
      </w:r>
    </w:p>
    <w:p w14:paraId="56D7DC5F" w14:textId="77777777" w:rsidR="005D50CF" w:rsidRDefault="005D50CF" w:rsidP="007F3239">
      <w:pPr>
        <w:spacing w:before="100" w:beforeAutospacing="1" w:after="100" w:afterAutospacing="1" w:line="240" w:lineRule="auto"/>
        <w:jc w:val="both"/>
        <w:rPr>
          <w:rFonts w:eastAsia="Times New Roman" w:cs="Times New Roman"/>
          <w:lang w:val="sq-AL" w:eastAsia="mk-MK"/>
        </w:rPr>
      </w:pPr>
      <w:r w:rsidRPr="005D50CF">
        <w:rPr>
          <w:rFonts w:eastAsia="Times New Roman" w:cs="Times New Roman"/>
          <w:lang w:val="sq-AL" w:eastAsia="mk-MK"/>
        </w:rPr>
        <w:t>Në një sistem demokratik, heshtja administrative nuk duhet të jetë një praktikë. Ajo duhet të trajtohet si një formë pasiviteti institucional me pasoja të mundshme për besimin publik, sundimin e ligjit dhe luftën kundër korrupsionit.</w:t>
      </w:r>
    </w:p>
    <w:p w14:paraId="31250CEF" w14:textId="579DABE2" w:rsidR="007F3239" w:rsidRPr="00381975" w:rsidRDefault="006004AA" w:rsidP="007F3239">
      <w:pPr>
        <w:spacing w:before="100" w:beforeAutospacing="1" w:after="100" w:afterAutospacing="1" w:line="240" w:lineRule="auto"/>
        <w:jc w:val="both"/>
        <w:rPr>
          <w:rFonts w:eastAsia="Times New Roman" w:cs="Times New Roman"/>
          <w:lang w:val="sq-AL" w:eastAsia="mk-MK"/>
        </w:rPr>
      </w:pPr>
      <w:r w:rsidRPr="00381975">
        <w:rPr>
          <w:rFonts w:eastAsia="Times New Roman" w:cs="Times New Roman"/>
          <w:lang w:val="sq-AL" w:eastAsia="mk-MK"/>
        </w:rPr>
        <w:t xml:space="preserve"> </w:t>
      </w:r>
    </w:p>
    <w:p w14:paraId="567745F4" w14:textId="3D6D2127" w:rsidR="007F3239" w:rsidRDefault="007F3239" w:rsidP="007F3239">
      <w:pPr>
        <w:spacing w:before="100" w:beforeAutospacing="1" w:after="100" w:afterAutospacing="1" w:line="240" w:lineRule="auto"/>
        <w:jc w:val="both"/>
        <w:rPr>
          <w:rFonts w:eastAsia="Times New Roman" w:cs="Times New Roman"/>
          <w:sz w:val="8"/>
          <w:szCs w:val="8"/>
          <w:lang w:val="sq-AL" w:eastAsia="mk-MK"/>
        </w:rPr>
      </w:pPr>
    </w:p>
    <w:p w14:paraId="1E9DB959" w14:textId="77777777" w:rsidR="005D50CF" w:rsidRPr="00381975" w:rsidRDefault="005D50CF" w:rsidP="007F3239">
      <w:pPr>
        <w:spacing w:before="100" w:beforeAutospacing="1" w:after="100" w:afterAutospacing="1" w:line="240" w:lineRule="auto"/>
        <w:jc w:val="both"/>
        <w:rPr>
          <w:rFonts w:eastAsia="Times New Roman" w:cs="Times New Roman"/>
          <w:sz w:val="8"/>
          <w:szCs w:val="8"/>
          <w:lang w:val="sq-AL" w:eastAsia="mk-MK"/>
        </w:rPr>
      </w:pPr>
    </w:p>
    <w:p w14:paraId="7872D466" w14:textId="62E0780B" w:rsidR="000A344F" w:rsidRPr="00381975" w:rsidRDefault="005D50CF" w:rsidP="007F3239">
      <w:pPr>
        <w:pStyle w:val="ListParagraph"/>
        <w:numPr>
          <w:ilvl w:val="0"/>
          <w:numId w:val="6"/>
        </w:numPr>
        <w:spacing w:before="100" w:beforeAutospacing="1" w:after="100" w:afterAutospacing="1" w:line="240" w:lineRule="auto"/>
        <w:jc w:val="both"/>
        <w:rPr>
          <w:rFonts w:eastAsia="Times New Roman" w:cs="Times New Roman"/>
          <w:lang w:val="sq-AL" w:eastAsia="mk-MK"/>
        </w:rPr>
      </w:pPr>
      <w:r>
        <w:rPr>
          <w:rFonts w:eastAsia="Times New Roman" w:cs="Times New Roman"/>
          <w:b/>
          <w:bCs/>
          <w:sz w:val="27"/>
          <w:szCs w:val="27"/>
          <w:lang w:val="sq-AL" w:eastAsia="mk-MK"/>
        </w:rPr>
        <w:lastRenderedPageBreak/>
        <w:t>ARSYE PËR HESHTJEN – MANGËSI INSTITUCIONALE</w:t>
      </w:r>
    </w:p>
    <w:p w14:paraId="06CDD94B" w14:textId="32344C63" w:rsidR="0070569B" w:rsidRPr="00381975" w:rsidRDefault="005D50CF" w:rsidP="0070569B">
      <w:pPr>
        <w:spacing w:before="100" w:beforeAutospacing="1" w:after="100" w:afterAutospacing="1" w:line="240" w:lineRule="auto"/>
        <w:ind w:left="360"/>
        <w:jc w:val="both"/>
        <w:rPr>
          <w:rFonts w:eastAsia="Times New Roman" w:cs="Times New Roman"/>
          <w:lang w:val="sq-AL" w:eastAsia="mk-MK"/>
        </w:rPr>
      </w:pPr>
      <w:r w:rsidRPr="005D50CF">
        <w:rPr>
          <w:rFonts w:eastAsia="Times New Roman" w:cs="Times New Roman"/>
          <w:lang w:val="sq-AL" w:eastAsia="mk-MK"/>
        </w:rPr>
        <w:t>Analiza e ankesave në lidhje me heshtjen administrative tregon se problemi është thellësisht i rrënjosur në kulturën institucionale dhe praktikën administrative. Janë identifikuar disa faktorë kryesorë që shpjegojnë përhapjen dhe vazhdimësinë e heshtjes:</w:t>
      </w:r>
    </w:p>
    <w:p w14:paraId="7D740BA0" w14:textId="416FA789" w:rsidR="005D50CF" w:rsidRPr="005D50CF" w:rsidRDefault="005D50CF" w:rsidP="005D50CF">
      <w:pPr>
        <w:pStyle w:val="ListParagraph"/>
        <w:numPr>
          <w:ilvl w:val="0"/>
          <w:numId w:val="9"/>
        </w:numPr>
        <w:spacing w:before="100" w:beforeAutospacing="1" w:after="100" w:afterAutospacing="1" w:line="240" w:lineRule="auto"/>
        <w:jc w:val="both"/>
        <w:rPr>
          <w:rFonts w:eastAsia="Times New Roman" w:cs="Times New Roman"/>
          <w:lang w:val="sq-AL" w:eastAsia="mk-MK"/>
        </w:rPr>
      </w:pPr>
      <w:r w:rsidRPr="005D50CF">
        <w:rPr>
          <w:rFonts w:eastAsia="Times New Roman" w:cs="Times New Roman"/>
          <w:b/>
          <w:lang w:val="sq-AL" w:eastAsia="mk-MK"/>
        </w:rPr>
        <w:t>Mungesa e procedurave dhe standardeve të brendshme:</w:t>
      </w:r>
      <w:r w:rsidRPr="005D50CF">
        <w:rPr>
          <w:rFonts w:eastAsia="Times New Roman" w:cs="Times New Roman"/>
          <w:lang w:val="sq-AL" w:eastAsia="mk-MK"/>
        </w:rPr>
        <w:t xml:space="preserve"> Shumë institucione ende nuk kanë krijuar mekanizma të brendshëm për regjistrimin, gjurmimin dhe monitorimin e përpunimit të kërkesave për informacion. Mungesa e një strukture të qartë organizative çon në vonesa në përpunim ose injorim të plotë të kërkesave.</w:t>
      </w:r>
    </w:p>
    <w:p w14:paraId="67EEF428" w14:textId="77777777" w:rsidR="005D50CF" w:rsidRPr="005D50CF" w:rsidRDefault="005D50CF" w:rsidP="005D50CF">
      <w:pPr>
        <w:pStyle w:val="ListParagraph"/>
        <w:spacing w:before="100" w:beforeAutospacing="1" w:after="100" w:afterAutospacing="1" w:line="240" w:lineRule="auto"/>
        <w:ind w:left="1080"/>
        <w:jc w:val="both"/>
        <w:rPr>
          <w:rFonts w:eastAsia="Times New Roman" w:cs="Times New Roman"/>
          <w:lang w:val="sq-AL" w:eastAsia="mk-MK"/>
        </w:rPr>
      </w:pPr>
    </w:p>
    <w:p w14:paraId="42B0607F" w14:textId="677884DE" w:rsidR="005D50CF" w:rsidRPr="005D50CF" w:rsidRDefault="005D50CF" w:rsidP="005D50CF">
      <w:pPr>
        <w:pStyle w:val="ListParagraph"/>
        <w:numPr>
          <w:ilvl w:val="0"/>
          <w:numId w:val="9"/>
        </w:numPr>
        <w:spacing w:before="100" w:beforeAutospacing="1" w:after="100" w:afterAutospacing="1" w:line="240" w:lineRule="auto"/>
        <w:jc w:val="both"/>
        <w:rPr>
          <w:rFonts w:eastAsia="Times New Roman" w:cs="Times New Roman"/>
          <w:lang w:val="sq-AL" w:eastAsia="mk-MK"/>
        </w:rPr>
      </w:pPr>
      <w:r w:rsidRPr="005D50CF">
        <w:rPr>
          <w:rFonts w:eastAsia="Times New Roman" w:cs="Times New Roman"/>
          <w:b/>
          <w:lang w:val="sq-AL" w:eastAsia="mk-MK"/>
        </w:rPr>
        <w:t>Koordinim dhe komunikim i brendshëm i dobët:</w:t>
      </w:r>
      <w:r w:rsidRPr="005D50CF">
        <w:rPr>
          <w:rFonts w:eastAsia="Times New Roman" w:cs="Times New Roman"/>
          <w:lang w:val="sq-AL" w:eastAsia="mk-MK"/>
        </w:rPr>
        <w:t xml:space="preserve"> Kërkesat shpesh ngecin në labirinte hierarkike dhe pa afate të qarta për përpunimin e kërkesave të paraqitura. Kjo çon në heshtje edhe kur nuk ka qëllim të vetëdijshëm për të fshehur informacionin.</w:t>
      </w:r>
      <w:r>
        <w:rPr>
          <w:rFonts w:eastAsia="Times New Roman" w:cs="Times New Roman"/>
          <w:lang w:val="sq-AL" w:eastAsia="mk-MK"/>
        </w:rPr>
        <w:br/>
      </w:r>
    </w:p>
    <w:p w14:paraId="52B0218A" w14:textId="0B0FA65C" w:rsidR="005D50CF" w:rsidRDefault="005D50CF" w:rsidP="005D50CF">
      <w:pPr>
        <w:pStyle w:val="ListParagraph"/>
        <w:numPr>
          <w:ilvl w:val="0"/>
          <w:numId w:val="9"/>
        </w:numPr>
        <w:spacing w:before="100" w:beforeAutospacing="1" w:after="100" w:afterAutospacing="1" w:line="240" w:lineRule="auto"/>
        <w:jc w:val="both"/>
        <w:rPr>
          <w:rFonts w:eastAsia="Times New Roman" w:cs="Times New Roman"/>
          <w:lang w:val="sq-AL" w:eastAsia="mk-MK"/>
        </w:rPr>
      </w:pPr>
      <w:r w:rsidRPr="005D50CF">
        <w:rPr>
          <w:rFonts w:eastAsia="Times New Roman" w:cs="Times New Roman"/>
          <w:b/>
          <w:lang w:val="sq-AL" w:eastAsia="mk-MK"/>
        </w:rPr>
        <w:t>Pasiviteti i zyrtarëve dhe mbikëqyrja e pamjaftueshme nga menaxhmenti:</w:t>
      </w:r>
      <w:r w:rsidRPr="005D50CF">
        <w:rPr>
          <w:rFonts w:eastAsia="Times New Roman" w:cs="Times New Roman"/>
          <w:lang w:val="sq-AL" w:eastAsia="mk-MK"/>
        </w:rPr>
        <w:t xml:space="preserve"> Pavarësisht trajnimit të ofruar nga Agjencia, praktika tregon se shumë zyrtarë nuk e perceptojnë të drejtën për qasje në informacion si një të drejtë thelbësore. Megjithatë, strukturat e menaxhimit shpesh janë të shkëputura ose tolerante ndaj një sjelljeje të tillë.</w:t>
      </w:r>
    </w:p>
    <w:p w14:paraId="726DC739" w14:textId="77777777" w:rsidR="005D50CF" w:rsidRPr="005D50CF" w:rsidRDefault="005D50CF" w:rsidP="005D50CF">
      <w:pPr>
        <w:pStyle w:val="ListParagraph"/>
        <w:spacing w:before="100" w:beforeAutospacing="1" w:after="100" w:afterAutospacing="1" w:line="240" w:lineRule="auto"/>
        <w:ind w:left="1080"/>
        <w:jc w:val="both"/>
        <w:rPr>
          <w:rFonts w:eastAsia="Times New Roman" w:cs="Times New Roman"/>
          <w:lang w:val="sq-AL" w:eastAsia="mk-MK"/>
        </w:rPr>
      </w:pPr>
    </w:p>
    <w:p w14:paraId="0A3A21D1" w14:textId="6023630F" w:rsidR="000A344F" w:rsidRPr="005D50CF" w:rsidRDefault="005D50CF" w:rsidP="004A6DB2">
      <w:pPr>
        <w:pStyle w:val="ListParagraph"/>
        <w:numPr>
          <w:ilvl w:val="0"/>
          <w:numId w:val="10"/>
        </w:numPr>
        <w:spacing w:before="100" w:beforeAutospacing="1" w:after="100" w:afterAutospacing="1" w:line="240" w:lineRule="auto"/>
        <w:jc w:val="both"/>
        <w:rPr>
          <w:rFonts w:eastAsia="Times New Roman" w:cs="Times New Roman"/>
          <w:lang w:val="sq-AL" w:eastAsia="mk-MK"/>
        </w:rPr>
      </w:pPr>
      <w:r w:rsidRPr="005D50CF">
        <w:rPr>
          <w:rFonts w:eastAsia="Times New Roman" w:cs="Times New Roman"/>
          <w:b/>
          <w:lang w:val="sq-AL" w:eastAsia="mk-MK"/>
        </w:rPr>
        <w:t>Mosrespektimi i detyrimit për transparencë proaktive:</w:t>
      </w:r>
      <w:r w:rsidRPr="005D50CF">
        <w:rPr>
          <w:rFonts w:eastAsia="Times New Roman" w:cs="Times New Roman"/>
          <w:lang w:val="sq-AL" w:eastAsia="mk-MK"/>
        </w:rPr>
        <w:t xml:space="preserve"> Neni 10 i Ligjit parashikon detyrimin për të publikuar një minimum informacioni në faqet e internetit të institucioneve. Por shumë prej tyre nuk i përmbushin as këto standarde themelore. Rekomandimi i qeverisë për vitin 2023 për të publikuar kërkesa dhe përgjigje anonime nuk është zbatuar ende nga shumica e institucioneve.</w:t>
      </w:r>
    </w:p>
    <w:p w14:paraId="17A237C1" w14:textId="0ED65228" w:rsidR="007F3239" w:rsidRPr="00381975" w:rsidRDefault="005D50CF" w:rsidP="007F3239">
      <w:pPr>
        <w:spacing w:before="100" w:beforeAutospacing="1" w:after="100" w:afterAutospacing="1" w:line="240" w:lineRule="auto"/>
        <w:jc w:val="both"/>
        <w:rPr>
          <w:rFonts w:eastAsia="Times New Roman" w:cs="Times New Roman"/>
          <w:lang w:val="sq-AL" w:eastAsia="mk-MK"/>
        </w:rPr>
      </w:pPr>
      <w:r w:rsidRPr="005D50CF">
        <w:rPr>
          <w:rFonts w:eastAsia="Times New Roman" w:cs="Times New Roman"/>
          <w:lang w:val="sq-AL" w:eastAsia="mk-MK"/>
        </w:rPr>
        <w:t>Këto arsye tregojnë se heshtja nuk është një gabim administrativ, por një dështim sistemik që buron nga llogaridhënia e dobët, profesionalizimi i pamjaftueshëm i administratës publike dhe mungesa e përgjegjësisë midis menaxherëve.</w:t>
      </w:r>
    </w:p>
    <w:p w14:paraId="024CF397" w14:textId="77777777" w:rsidR="007F3239" w:rsidRPr="00381975" w:rsidRDefault="007F3239" w:rsidP="007F3239">
      <w:pPr>
        <w:spacing w:before="100" w:beforeAutospacing="1" w:after="100" w:afterAutospacing="1" w:line="240" w:lineRule="auto"/>
        <w:jc w:val="both"/>
        <w:rPr>
          <w:rFonts w:eastAsia="Times New Roman" w:cs="Times New Roman"/>
          <w:sz w:val="8"/>
          <w:szCs w:val="8"/>
          <w:lang w:val="sq-AL" w:eastAsia="mk-MK"/>
        </w:rPr>
      </w:pPr>
    </w:p>
    <w:p w14:paraId="0F69EAA8" w14:textId="1282D3CA" w:rsidR="00306E39" w:rsidRPr="00381975" w:rsidRDefault="005D50CF" w:rsidP="007F3239">
      <w:pPr>
        <w:pStyle w:val="ListParagraph"/>
        <w:numPr>
          <w:ilvl w:val="0"/>
          <w:numId w:val="6"/>
        </w:numPr>
        <w:spacing w:before="100" w:beforeAutospacing="1" w:after="100" w:afterAutospacing="1" w:line="240" w:lineRule="auto"/>
        <w:jc w:val="both"/>
        <w:rPr>
          <w:rFonts w:eastAsia="Times New Roman" w:cs="Times New Roman"/>
          <w:lang w:val="sq-AL" w:eastAsia="mk-MK"/>
        </w:rPr>
      </w:pPr>
      <w:r>
        <w:rPr>
          <w:rFonts w:eastAsia="Times New Roman" w:cs="Times New Roman"/>
          <w:b/>
          <w:bCs/>
          <w:sz w:val="27"/>
          <w:szCs w:val="27"/>
          <w:lang w:val="sq-AL" w:eastAsia="mk-MK"/>
        </w:rPr>
        <w:t>KON</w:t>
      </w:r>
      <w:r w:rsidR="000A15C6">
        <w:rPr>
          <w:rFonts w:eastAsia="Times New Roman" w:cs="Times New Roman"/>
          <w:b/>
          <w:bCs/>
          <w:sz w:val="27"/>
          <w:szCs w:val="27"/>
          <w:lang w:val="sq-AL" w:eastAsia="mk-MK"/>
        </w:rPr>
        <w:t>KLUZA DHE REKOMANDIME</w:t>
      </w:r>
    </w:p>
    <w:p w14:paraId="7BF504D1" w14:textId="77777777" w:rsidR="00306E39" w:rsidRPr="00381975" w:rsidRDefault="00306E39" w:rsidP="00306E39">
      <w:pPr>
        <w:pStyle w:val="ListParagraph"/>
        <w:spacing w:before="100" w:beforeAutospacing="1" w:after="100" w:afterAutospacing="1" w:line="240" w:lineRule="auto"/>
        <w:jc w:val="both"/>
        <w:outlineLvl w:val="2"/>
        <w:rPr>
          <w:rFonts w:eastAsia="Times New Roman" w:cs="Times New Roman"/>
          <w:b/>
          <w:bCs/>
          <w:sz w:val="4"/>
          <w:szCs w:val="4"/>
          <w:lang w:val="sq-AL" w:eastAsia="mk-MK"/>
        </w:rPr>
      </w:pPr>
    </w:p>
    <w:p w14:paraId="07D5AB4C" w14:textId="0623EEF7" w:rsidR="00306E39" w:rsidRPr="00381975" w:rsidRDefault="000A15C6" w:rsidP="00306E39">
      <w:pPr>
        <w:pStyle w:val="Heading3"/>
        <w:jc w:val="both"/>
        <w:rPr>
          <w:rFonts w:ascii="StobiSerif Regular" w:hAnsi="StobiSerif Regular"/>
          <w:lang w:val="sq-AL"/>
        </w:rPr>
      </w:pPr>
      <w:r>
        <w:rPr>
          <w:rStyle w:val="Strong"/>
          <w:rFonts w:ascii="StobiSerif Regular" w:hAnsi="StobiSerif Regular"/>
          <w:b/>
          <w:bCs/>
          <w:lang w:val="sq-AL"/>
        </w:rPr>
        <w:t xml:space="preserve">Konkluza </w:t>
      </w:r>
    </w:p>
    <w:p w14:paraId="49605977" w14:textId="1E289481" w:rsidR="000A15C6" w:rsidRPr="000A15C6" w:rsidRDefault="000A15C6" w:rsidP="000A15C6">
      <w:pPr>
        <w:pStyle w:val="NormalWeb"/>
        <w:ind w:left="720"/>
        <w:jc w:val="both"/>
        <w:rPr>
          <w:rFonts w:ascii="StobiSerif Regular" w:hAnsi="StobiSerif Regular"/>
          <w:lang w:val="sq-AL"/>
        </w:rPr>
      </w:pPr>
      <w:r w:rsidRPr="000A15C6">
        <w:rPr>
          <w:rFonts w:ascii="StobiSerif Regular" w:hAnsi="StobiSerif Regular"/>
          <w:lang w:val="sq-AL"/>
        </w:rPr>
        <w:t>Analiza për periudhën 1 janar - 30 qershor 2025 konfirmon se heshtja e administratës mbetet një nga dobësitë më të thella sistemike në zbatimin e të drejtës pë</w:t>
      </w:r>
      <w:r>
        <w:rPr>
          <w:rFonts w:ascii="StobiSerif Regular" w:hAnsi="StobiSerif Regular"/>
          <w:lang w:val="sq-AL"/>
        </w:rPr>
        <w:t>r akses të lirë në informacione me katrakter</w:t>
      </w:r>
      <w:r w:rsidRPr="000A15C6">
        <w:rPr>
          <w:rFonts w:ascii="StobiSerif Regular" w:hAnsi="StobiSerif Regular"/>
          <w:lang w:val="sq-AL"/>
        </w:rPr>
        <w:t xml:space="preserve"> publik. Ky fenomen nuk mund të trajtohet më si një problem i izoluar ose teknik, por si një tregues i deficiteve të thella institucionale, të cilat dëmtojnë transparencën, llogaridhënien dhe sundimin e ligjit.</w:t>
      </w:r>
    </w:p>
    <w:p w14:paraId="2AC31E9B" w14:textId="77777777" w:rsidR="000A15C6" w:rsidRPr="000A15C6" w:rsidRDefault="000A15C6" w:rsidP="000A15C6">
      <w:pPr>
        <w:pStyle w:val="NormalWeb"/>
        <w:ind w:left="720"/>
        <w:jc w:val="both"/>
        <w:rPr>
          <w:rFonts w:ascii="StobiSerif Regular" w:hAnsi="StobiSerif Regular"/>
          <w:lang w:val="sq-AL"/>
        </w:rPr>
      </w:pPr>
      <w:r w:rsidRPr="000A15C6">
        <w:rPr>
          <w:rFonts w:ascii="StobiSerif Regular" w:hAnsi="StobiSerif Regular"/>
          <w:lang w:val="sq-AL"/>
        </w:rPr>
        <w:t>Prania e heshtjes në 70.27% të ankesave tregon një problem serioz strukturor në administratën publike. Është veçanërisht e theksuar në organet e qeverisjes vendore dhe disa ministri kyçe, ku mosangazhimi, si dhe mungesa e procedurave të brendshme, krijojnë një mjedis në të cilin mosveprimi bëhet praktikë, jo përjashtim.</w:t>
      </w:r>
    </w:p>
    <w:p w14:paraId="52E06819" w14:textId="77777777" w:rsidR="000A15C6" w:rsidRPr="000A15C6" w:rsidRDefault="000A15C6" w:rsidP="000A15C6">
      <w:pPr>
        <w:pStyle w:val="NormalWeb"/>
        <w:ind w:left="720"/>
        <w:jc w:val="both"/>
        <w:rPr>
          <w:rFonts w:ascii="StobiSerif Regular" w:hAnsi="StobiSerif Regular"/>
          <w:lang w:val="sq-AL"/>
        </w:rPr>
      </w:pPr>
      <w:r w:rsidRPr="000A15C6">
        <w:rPr>
          <w:rFonts w:ascii="StobiSerif Regular" w:hAnsi="StobiSerif Regular"/>
          <w:lang w:val="sq-AL"/>
        </w:rPr>
        <w:t xml:space="preserve">Heshtja e administratës, vit pas viti, ndodh në institucione pothuajse identike, gjë që sugjeron se problemi nuk lind nga injoranca, por nga mosinteresimi kronik institucional </w:t>
      </w:r>
      <w:r w:rsidRPr="000A15C6">
        <w:rPr>
          <w:rFonts w:ascii="StobiSerif Regular" w:hAnsi="StobiSerif Regular"/>
          <w:lang w:val="sq-AL"/>
        </w:rPr>
        <w:lastRenderedPageBreak/>
        <w:t>në çështjet e transparencës. Kjo tregon rezistencë jo vetëm ndaj Ligjit, por edhe ndaj vetë logjikës së publicitetit dhe llogaridhënies.</w:t>
      </w:r>
    </w:p>
    <w:p w14:paraId="4061B125" w14:textId="77777777" w:rsidR="000A15C6" w:rsidRPr="000A15C6" w:rsidRDefault="000A15C6" w:rsidP="000A15C6">
      <w:pPr>
        <w:pStyle w:val="NormalWeb"/>
        <w:ind w:left="720"/>
        <w:jc w:val="both"/>
        <w:rPr>
          <w:rFonts w:ascii="StobiSerif Regular" w:hAnsi="StobiSerif Regular"/>
          <w:lang w:val="sq-AL"/>
        </w:rPr>
      </w:pPr>
      <w:r w:rsidRPr="000A15C6">
        <w:rPr>
          <w:rFonts w:ascii="StobiSerif Regular" w:hAnsi="StobiSerif Regular"/>
          <w:lang w:val="sq-AL"/>
        </w:rPr>
        <w:t>Pavarësisht përpjekjeve të vazhdueshme të Agjencisë përmes edukimit, manualeve dhe udhëzimeve, analiza tregon se efektet mbeten të kufizuara. Pengesa kryesore qëndron në mungesën e vullnetit politik dhe disiplinës administrative midis strukturave drejtuese të institucioneve, të cilat shpesh e injorojnë këtë të drejtë ose e reduktojnë atë në një formalitet teknik.</w:t>
      </w:r>
    </w:p>
    <w:p w14:paraId="664ACFA8" w14:textId="77777777" w:rsidR="000A15C6" w:rsidRPr="000A15C6" w:rsidRDefault="000A15C6" w:rsidP="000A15C6">
      <w:pPr>
        <w:pStyle w:val="NormalWeb"/>
        <w:ind w:left="720"/>
        <w:jc w:val="both"/>
        <w:rPr>
          <w:rFonts w:ascii="StobiSerif Regular" w:hAnsi="StobiSerif Regular"/>
          <w:lang w:val="sq-AL"/>
        </w:rPr>
      </w:pPr>
      <w:r w:rsidRPr="000A15C6">
        <w:rPr>
          <w:rFonts w:ascii="StobiSerif Regular" w:hAnsi="StobiSerif Regular"/>
          <w:lang w:val="sq-AL"/>
        </w:rPr>
        <w:t>Transparenca proaktive, si një qasje strategjike për të zvogëluar numrin e kërkesave dhe për të parandaluar heshtjen e administratës, ende kuptohet dobët dhe zbatohet rrallë. Faqet e internetit të institucioneve më shpesh nuk ofrojnë as informacion bazë dhe të azhurnuar, gjë që minon besimin e publikut dhe i stimulon kërkuesit t'i kontaktojnë drejtpërdrejt - pa një rezultat efektiv.</w:t>
      </w:r>
    </w:p>
    <w:p w14:paraId="1A57E757" w14:textId="77777777" w:rsidR="000A15C6" w:rsidRPr="000A15C6" w:rsidRDefault="000A15C6" w:rsidP="000A15C6">
      <w:pPr>
        <w:pStyle w:val="NormalWeb"/>
        <w:ind w:left="720"/>
        <w:jc w:val="both"/>
        <w:rPr>
          <w:rFonts w:ascii="StobiSerif Regular" w:hAnsi="StobiSerif Regular"/>
          <w:lang w:val="sq-AL"/>
        </w:rPr>
      </w:pPr>
      <w:r w:rsidRPr="000A15C6">
        <w:rPr>
          <w:rFonts w:ascii="StobiSerif Regular" w:hAnsi="StobiSerif Regular"/>
          <w:lang w:val="sq-AL"/>
        </w:rPr>
        <w:t>Në të njëjtën kohë, numri në rritje i kërkesave për informacion, veçanërisht nga organizatat e shoqërisë civile dhe media, por edhe nga qytetarët, dëshmon për rritjen e ndërgjegjësimit dhe rritjen e pritjeve nga publiku. Ky është një trend pozitiv, por edhe një sfidë për institucionet - të cilat aktualisht nuk kanë kapacitetin ose vullnetin për t'iu përgjigjur në mënyrë të përshtatshme dhe në kohën e duhur.</w:t>
      </w:r>
    </w:p>
    <w:p w14:paraId="68E67732" w14:textId="354BA52E" w:rsidR="00306E39" w:rsidRPr="00381975" w:rsidRDefault="000A15C6" w:rsidP="000A15C6">
      <w:pPr>
        <w:pStyle w:val="NormalWeb"/>
        <w:ind w:left="720"/>
        <w:jc w:val="both"/>
        <w:rPr>
          <w:rFonts w:ascii="StobiSerif Regular" w:hAnsi="StobiSerif Regular"/>
          <w:lang w:val="sq-AL"/>
        </w:rPr>
      </w:pPr>
      <w:r w:rsidRPr="000A15C6">
        <w:rPr>
          <w:rFonts w:ascii="StobiSerif Regular" w:hAnsi="StobiSerif Regular"/>
          <w:lang w:val="sq-AL"/>
        </w:rPr>
        <w:t>Në përgjithësi, mund të konkludohet se heshtja e administratës nuk është vetëm një pengesë administrative - është një simptomë e një kulture të rrënjosur thellë të mbylljes, e cila duhet të adresohet përmes ndërhyrjeve të qarta institucionale, llogaridhënies dhe mbështetjes aktive për një kulturë hapjeje. Pa ndryshime thelbësore në qasjen e institucioneve, çdo përmirësim do të jetë i përkohshëm dhe deklarativ.</w:t>
      </w:r>
    </w:p>
    <w:p w14:paraId="578A0999" w14:textId="77777777" w:rsidR="004A2F0B" w:rsidRPr="00381975" w:rsidRDefault="004A2F0B" w:rsidP="006C5632">
      <w:pPr>
        <w:pStyle w:val="NormalWeb"/>
        <w:ind w:left="720"/>
        <w:jc w:val="both"/>
        <w:rPr>
          <w:rFonts w:ascii="StobiSerif Regular" w:hAnsi="StobiSerif Regular"/>
          <w:sz w:val="2"/>
          <w:szCs w:val="2"/>
          <w:lang w:val="sq-AL"/>
        </w:rPr>
      </w:pPr>
    </w:p>
    <w:p w14:paraId="2F8C79FA" w14:textId="41D2DAA4" w:rsidR="00306E39" w:rsidRPr="00381975" w:rsidRDefault="000A15C6" w:rsidP="00306E39">
      <w:pPr>
        <w:spacing w:before="100" w:beforeAutospacing="1" w:after="100" w:afterAutospacing="1" w:line="240" w:lineRule="auto"/>
        <w:jc w:val="both"/>
        <w:outlineLvl w:val="2"/>
        <w:rPr>
          <w:rFonts w:eastAsia="Times New Roman" w:cs="Times New Roman"/>
          <w:b/>
          <w:bCs/>
          <w:sz w:val="27"/>
          <w:szCs w:val="27"/>
          <w:lang w:val="sq-AL" w:eastAsia="mk-MK"/>
        </w:rPr>
      </w:pPr>
      <w:r>
        <w:rPr>
          <w:rFonts w:eastAsia="Times New Roman" w:cs="Times New Roman"/>
          <w:b/>
          <w:bCs/>
          <w:sz w:val="27"/>
          <w:szCs w:val="27"/>
          <w:lang w:val="sq-AL" w:eastAsia="mk-MK"/>
        </w:rPr>
        <w:t>Rekomndime deri tek institucionet – posedues të informacioneve me karakter publik</w:t>
      </w:r>
    </w:p>
    <w:p w14:paraId="7A8DC8D5" w14:textId="77777777" w:rsidR="00EA4A0B" w:rsidRPr="00381975" w:rsidRDefault="00EA4A0B" w:rsidP="00306E39">
      <w:pPr>
        <w:spacing w:before="100" w:beforeAutospacing="1" w:after="100" w:afterAutospacing="1" w:line="240" w:lineRule="auto"/>
        <w:jc w:val="both"/>
        <w:outlineLvl w:val="2"/>
        <w:rPr>
          <w:rFonts w:eastAsia="Times New Roman" w:cs="Times New Roman"/>
          <w:b/>
          <w:bCs/>
          <w:sz w:val="2"/>
          <w:szCs w:val="2"/>
          <w:lang w:val="sq-AL" w:eastAsia="mk-MK"/>
        </w:rPr>
      </w:pPr>
    </w:p>
    <w:p w14:paraId="3D2B8F8E" w14:textId="77777777" w:rsidR="000A15C6" w:rsidRPr="000A15C6" w:rsidRDefault="000A15C6" w:rsidP="000A15C6">
      <w:pPr>
        <w:spacing w:before="100" w:beforeAutospacing="1" w:after="100" w:afterAutospacing="1" w:line="240" w:lineRule="auto"/>
        <w:ind w:left="720"/>
        <w:jc w:val="both"/>
        <w:rPr>
          <w:rFonts w:eastAsia="Times New Roman" w:cs="Times New Roman"/>
          <w:b/>
          <w:bCs/>
          <w:lang w:val="sq-AL" w:eastAsia="mk-MK"/>
        </w:rPr>
      </w:pPr>
      <w:r w:rsidRPr="000A15C6">
        <w:rPr>
          <w:rFonts w:eastAsia="Times New Roman" w:cs="Times New Roman"/>
          <w:b/>
          <w:bCs/>
          <w:lang w:val="sq-AL" w:eastAsia="mk-MK"/>
        </w:rPr>
        <w:t>Ngritja e një organizimi të brendshëm funksional për trajtimin e kërkesave</w:t>
      </w:r>
    </w:p>
    <w:p w14:paraId="4B2EFE52" w14:textId="77777777" w:rsidR="000A15C6" w:rsidRPr="000A15C6" w:rsidRDefault="000A15C6" w:rsidP="000A15C6">
      <w:pPr>
        <w:spacing w:before="100" w:beforeAutospacing="1" w:after="100" w:afterAutospacing="1" w:line="240" w:lineRule="auto"/>
        <w:ind w:left="720"/>
        <w:jc w:val="both"/>
        <w:rPr>
          <w:rFonts w:eastAsia="Times New Roman" w:cs="Times New Roman"/>
          <w:bCs/>
          <w:lang w:val="sq-AL" w:eastAsia="mk-MK"/>
        </w:rPr>
      </w:pPr>
      <w:r w:rsidRPr="000A15C6">
        <w:rPr>
          <w:rFonts w:eastAsia="Times New Roman" w:cs="Times New Roman"/>
          <w:bCs/>
          <w:lang w:val="sq-AL" w:eastAsia="mk-MK"/>
        </w:rPr>
        <w:t>Çdo institucion duhet të emërojë një person/departament përgjegjës me përgjegjësi të qarta dhe të krijojë një procedurë standarde për regjistrimin, përpunimin dhe përgjigjen ndaj kërkesave në kohën e duhur. Mbikëqyrja e brendshme (përmes kontrolleve mujore ose tremujore) duhet të jetë e detyrueshme, me llogaridhënie të qartë ndaj menaxhmentit.</w:t>
      </w:r>
    </w:p>
    <w:p w14:paraId="64DF716B" w14:textId="77777777" w:rsidR="000A15C6" w:rsidRPr="000A15C6" w:rsidRDefault="000A15C6" w:rsidP="000A15C6">
      <w:pPr>
        <w:spacing w:before="100" w:beforeAutospacing="1" w:after="100" w:afterAutospacing="1" w:line="240" w:lineRule="auto"/>
        <w:ind w:left="720"/>
        <w:jc w:val="both"/>
        <w:rPr>
          <w:rFonts w:eastAsia="Times New Roman" w:cs="Times New Roman"/>
          <w:b/>
          <w:bCs/>
          <w:lang w:val="sq-AL" w:eastAsia="mk-MK"/>
        </w:rPr>
      </w:pPr>
      <w:r w:rsidRPr="000A15C6">
        <w:rPr>
          <w:rFonts w:eastAsia="Times New Roman" w:cs="Times New Roman"/>
          <w:b/>
          <w:bCs/>
          <w:lang w:val="sq-AL" w:eastAsia="mk-MK"/>
        </w:rPr>
        <w:t>Edukimi i rregullt dhe i detyrueshëm i zyrtarëve</w:t>
      </w:r>
    </w:p>
    <w:p w14:paraId="6B0F09B5" w14:textId="77777777" w:rsidR="000A15C6" w:rsidRPr="000A15C6" w:rsidRDefault="000A15C6" w:rsidP="000A15C6">
      <w:pPr>
        <w:spacing w:before="100" w:beforeAutospacing="1" w:after="100" w:afterAutospacing="1" w:line="240" w:lineRule="auto"/>
        <w:ind w:left="720"/>
        <w:jc w:val="both"/>
        <w:rPr>
          <w:rFonts w:eastAsia="Times New Roman" w:cs="Times New Roman"/>
          <w:bCs/>
          <w:lang w:val="sq-AL" w:eastAsia="mk-MK"/>
        </w:rPr>
      </w:pPr>
      <w:r w:rsidRPr="000A15C6">
        <w:rPr>
          <w:rFonts w:eastAsia="Times New Roman" w:cs="Times New Roman"/>
          <w:bCs/>
          <w:lang w:val="sq-AL" w:eastAsia="mk-MK"/>
        </w:rPr>
        <w:t>Institucionet duhet të sigurojnë pjesëmarrjen në kurset e trajnimit të Agjencisë për të gjithë personat që merren me kërkesat për informacion. Këto trajnime duhet të jenë pjesë e planeve vjetore të zhvillimit profesional dhe të përfshijnë testimin dhe verifikimin e detyrimeve sipas Ligjit SPIJK.</w:t>
      </w:r>
    </w:p>
    <w:p w14:paraId="3AF45DEA" w14:textId="77777777" w:rsidR="000A15C6" w:rsidRPr="000A15C6" w:rsidRDefault="000A15C6" w:rsidP="000A15C6">
      <w:pPr>
        <w:spacing w:before="100" w:beforeAutospacing="1" w:after="100" w:afterAutospacing="1" w:line="240" w:lineRule="auto"/>
        <w:ind w:left="720"/>
        <w:jc w:val="both"/>
        <w:rPr>
          <w:rFonts w:eastAsia="Times New Roman" w:cs="Times New Roman"/>
          <w:b/>
          <w:bCs/>
          <w:lang w:val="sq-AL" w:eastAsia="mk-MK"/>
        </w:rPr>
      </w:pPr>
      <w:r w:rsidRPr="000A15C6">
        <w:rPr>
          <w:rFonts w:eastAsia="Times New Roman" w:cs="Times New Roman"/>
          <w:b/>
          <w:bCs/>
          <w:lang w:val="sq-AL" w:eastAsia="mk-MK"/>
        </w:rPr>
        <w:t>Zhvillimi dhe zbatimi i një plani proaktiv të transparencës</w:t>
      </w:r>
    </w:p>
    <w:p w14:paraId="4BC3A8E8" w14:textId="77777777" w:rsidR="000A15C6" w:rsidRPr="000A15C6" w:rsidRDefault="000A15C6" w:rsidP="000A15C6">
      <w:pPr>
        <w:spacing w:before="100" w:beforeAutospacing="1" w:after="100" w:afterAutospacing="1" w:line="240" w:lineRule="auto"/>
        <w:ind w:left="720"/>
        <w:jc w:val="both"/>
        <w:rPr>
          <w:rFonts w:eastAsia="Times New Roman" w:cs="Times New Roman"/>
          <w:bCs/>
          <w:lang w:val="sq-AL" w:eastAsia="mk-MK"/>
        </w:rPr>
      </w:pPr>
      <w:r w:rsidRPr="000A15C6">
        <w:rPr>
          <w:rFonts w:eastAsia="Times New Roman" w:cs="Times New Roman"/>
          <w:bCs/>
          <w:lang w:val="sq-AL" w:eastAsia="mk-MK"/>
        </w:rPr>
        <w:lastRenderedPageBreak/>
        <w:t>Faqet e internetit të institucioneve duhet të përditësohen rregullisht me informacionin, dokumentet dhe të dhënat me interes publik më të kërkuara. Neni 10 i Ligjit duhet të respektohet vazhdimisht. Institucionet duhet të emërojnë një person përgjegjës për përditësimin dhe llogaridhënien për informacionin e publikuar në faqet e internetit.</w:t>
      </w:r>
    </w:p>
    <w:p w14:paraId="2C33B063" w14:textId="77777777" w:rsidR="000A15C6" w:rsidRPr="000A15C6" w:rsidRDefault="000A15C6" w:rsidP="000A15C6">
      <w:pPr>
        <w:spacing w:before="100" w:beforeAutospacing="1" w:after="100" w:afterAutospacing="1" w:line="240" w:lineRule="auto"/>
        <w:ind w:left="720"/>
        <w:jc w:val="both"/>
        <w:rPr>
          <w:rFonts w:eastAsia="Times New Roman" w:cs="Times New Roman"/>
          <w:b/>
          <w:bCs/>
          <w:lang w:val="sq-AL" w:eastAsia="mk-MK"/>
        </w:rPr>
      </w:pPr>
      <w:r w:rsidRPr="000A15C6">
        <w:rPr>
          <w:rFonts w:eastAsia="Times New Roman" w:cs="Times New Roman"/>
          <w:b/>
          <w:bCs/>
          <w:lang w:val="sq-AL" w:eastAsia="mk-MK"/>
        </w:rPr>
        <w:t>Publikimi i kërkesave dhe përgjigjeve anonime</w:t>
      </w:r>
    </w:p>
    <w:p w14:paraId="56029337" w14:textId="77777777" w:rsidR="000A15C6" w:rsidRPr="000A15C6" w:rsidRDefault="000A15C6" w:rsidP="000A15C6">
      <w:pPr>
        <w:spacing w:before="100" w:beforeAutospacing="1" w:after="100" w:afterAutospacing="1" w:line="240" w:lineRule="auto"/>
        <w:ind w:left="720"/>
        <w:jc w:val="both"/>
        <w:rPr>
          <w:rFonts w:eastAsia="Times New Roman" w:cs="Times New Roman"/>
          <w:bCs/>
          <w:lang w:val="sq-AL" w:eastAsia="mk-MK"/>
        </w:rPr>
      </w:pPr>
      <w:r w:rsidRPr="000A15C6">
        <w:rPr>
          <w:rFonts w:eastAsia="Times New Roman" w:cs="Times New Roman"/>
          <w:bCs/>
          <w:lang w:val="sq-AL" w:eastAsia="mk-MK"/>
        </w:rPr>
        <w:t>Çdo institucion duhet të krijojë një seksion për publikimin e të gjitha kërkesave të marra dhe përgjigjeve të dhëna, në formë anonime. Kjo praktikë do të zvogëlojë numrin e kërkesave të përsëritura dhe do të përmirësojë ndërgjegjësimin publik. Monitorimi dhe raportimi mbi mosveprimin ndaj kërkesave</w:t>
      </w:r>
    </w:p>
    <w:p w14:paraId="3BD6893C" w14:textId="77777777" w:rsidR="000A15C6" w:rsidRPr="000A15C6" w:rsidRDefault="000A15C6" w:rsidP="000A15C6">
      <w:pPr>
        <w:spacing w:before="100" w:beforeAutospacing="1" w:after="100" w:afterAutospacing="1" w:line="240" w:lineRule="auto"/>
        <w:ind w:left="720"/>
        <w:jc w:val="both"/>
        <w:rPr>
          <w:rFonts w:eastAsia="Times New Roman" w:cs="Times New Roman"/>
          <w:bCs/>
          <w:lang w:val="sq-AL" w:eastAsia="mk-MK"/>
        </w:rPr>
      </w:pPr>
      <w:r w:rsidRPr="000A15C6">
        <w:rPr>
          <w:rFonts w:eastAsia="Times New Roman" w:cs="Times New Roman"/>
          <w:bCs/>
          <w:lang w:val="sq-AL" w:eastAsia="mk-MK"/>
        </w:rPr>
        <w:t>Çdo mosveprim (heshtje e administratës) duhet të regjistrohet brenda institucionit, me arsyet e specifikuara. Menaxhmenti i institucionit duhet të shqyrtojë raportet mbi raste të tilla çdo tremujor, gjë që nuk duhet të jetë praktikë.</w:t>
      </w:r>
    </w:p>
    <w:p w14:paraId="305B9DFC" w14:textId="77777777" w:rsidR="000A15C6" w:rsidRPr="000A15C6" w:rsidRDefault="000A15C6" w:rsidP="000A15C6">
      <w:pPr>
        <w:spacing w:before="100" w:beforeAutospacing="1" w:after="100" w:afterAutospacing="1" w:line="240" w:lineRule="auto"/>
        <w:ind w:left="720"/>
        <w:jc w:val="both"/>
        <w:rPr>
          <w:rFonts w:eastAsia="Times New Roman" w:cs="Times New Roman"/>
          <w:b/>
          <w:bCs/>
          <w:lang w:val="sq-AL" w:eastAsia="mk-MK"/>
        </w:rPr>
      </w:pPr>
      <w:r w:rsidRPr="000A15C6">
        <w:rPr>
          <w:rFonts w:eastAsia="Times New Roman" w:cs="Times New Roman"/>
          <w:b/>
          <w:bCs/>
          <w:lang w:val="sq-AL" w:eastAsia="mk-MK"/>
        </w:rPr>
        <w:t>Përdorimi i mjeteve dixhitale për analizimin e kërkesave</w:t>
      </w:r>
    </w:p>
    <w:p w14:paraId="45C8A88F" w14:textId="77777777" w:rsidR="000A15C6" w:rsidRPr="000A15C6" w:rsidRDefault="000A15C6" w:rsidP="000A15C6">
      <w:pPr>
        <w:spacing w:before="100" w:beforeAutospacing="1" w:after="100" w:afterAutospacing="1" w:line="240" w:lineRule="auto"/>
        <w:ind w:left="720"/>
        <w:jc w:val="both"/>
        <w:rPr>
          <w:rFonts w:eastAsia="Times New Roman" w:cs="Times New Roman"/>
          <w:bCs/>
          <w:lang w:val="sq-AL" w:eastAsia="mk-MK"/>
        </w:rPr>
      </w:pPr>
      <w:r w:rsidRPr="000A15C6">
        <w:rPr>
          <w:rFonts w:eastAsia="Times New Roman" w:cs="Times New Roman"/>
          <w:bCs/>
          <w:lang w:val="sq-AL" w:eastAsia="mk-MK"/>
        </w:rPr>
        <w:t>Është e këshillueshme që institucionet të prezantojnë baza të dhënash dixhitale që do të mundësojnë monitorimin automatik të afateve dhe klasifikimin e kërkesave. Kjo do të lehtësojë identifikimin e informacionit më të kërkuar shpesh, i cili më pas mund të publikohet në mënyrë proaktive.</w:t>
      </w:r>
    </w:p>
    <w:p w14:paraId="3DF751E3" w14:textId="77777777" w:rsidR="000A15C6" w:rsidRPr="000A15C6" w:rsidRDefault="000A15C6" w:rsidP="000A15C6">
      <w:pPr>
        <w:spacing w:before="100" w:beforeAutospacing="1" w:after="100" w:afterAutospacing="1" w:line="240" w:lineRule="auto"/>
        <w:ind w:left="720"/>
        <w:jc w:val="both"/>
        <w:rPr>
          <w:rFonts w:eastAsia="Times New Roman" w:cs="Times New Roman"/>
          <w:b/>
          <w:bCs/>
          <w:lang w:val="sq-AL" w:eastAsia="mk-MK"/>
        </w:rPr>
      </w:pPr>
      <w:r w:rsidRPr="000A15C6">
        <w:rPr>
          <w:rFonts w:eastAsia="Times New Roman" w:cs="Times New Roman"/>
          <w:b/>
          <w:bCs/>
          <w:lang w:val="sq-AL" w:eastAsia="mk-MK"/>
        </w:rPr>
        <w:t>Shkëmbimi ndërinstitucional i praktikave të mira</w:t>
      </w:r>
    </w:p>
    <w:p w14:paraId="17F72585" w14:textId="4801AAF8" w:rsidR="000A344F" w:rsidRPr="000A15C6" w:rsidRDefault="000A15C6" w:rsidP="000A15C6">
      <w:pPr>
        <w:spacing w:before="100" w:beforeAutospacing="1" w:after="100" w:afterAutospacing="1" w:line="240" w:lineRule="auto"/>
        <w:ind w:left="720"/>
        <w:jc w:val="both"/>
        <w:rPr>
          <w:rFonts w:eastAsia="Times New Roman" w:cs="Times New Roman"/>
          <w:lang w:val="sq-AL" w:eastAsia="mk-MK"/>
        </w:rPr>
      </w:pPr>
      <w:r w:rsidRPr="000A15C6">
        <w:rPr>
          <w:rFonts w:eastAsia="Times New Roman" w:cs="Times New Roman"/>
          <w:bCs/>
          <w:lang w:val="sq-AL" w:eastAsia="mk-MK"/>
        </w:rPr>
        <w:t>Komunat</w:t>
      </w:r>
      <w:r w:rsidRPr="000A15C6">
        <w:rPr>
          <w:rFonts w:eastAsia="Times New Roman" w:cs="Times New Roman"/>
          <w:bCs/>
          <w:lang w:val="sq-AL" w:eastAsia="mk-MK"/>
        </w:rPr>
        <w:t xml:space="preserve">, ministritë dhe </w:t>
      </w:r>
      <w:r w:rsidRPr="000A15C6">
        <w:rPr>
          <w:rFonts w:eastAsia="Times New Roman" w:cs="Times New Roman"/>
          <w:bCs/>
          <w:lang w:val="sq-AL" w:eastAsia="mk-MK"/>
        </w:rPr>
        <w:t>poseduesit</w:t>
      </w:r>
      <w:r w:rsidRPr="000A15C6">
        <w:rPr>
          <w:rFonts w:eastAsia="Times New Roman" w:cs="Times New Roman"/>
          <w:bCs/>
          <w:lang w:val="sq-AL" w:eastAsia="mk-MK"/>
        </w:rPr>
        <w:t xml:space="preserve"> e tjerë duhet të krijojnë komunikim dhe shkëmbim përvojash në bashkëpunim me Agjencinë dhe organizatat e shoqërisë civile.</w:t>
      </w:r>
    </w:p>
    <w:p w14:paraId="0E33EF39" w14:textId="77777777" w:rsidR="000A15C6" w:rsidRPr="000A15C6" w:rsidRDefault="000A15C6" w:rsidP="000A15C6">
      <w:pPr>
        <w:pStyle w:val="NormalWeb"/>
        <w:jc w:val="both"/>
        <w:rPr>
          <w:rFonts w:ascii="StobiSerif Regular" w:hAnsi="StobiSerif Regular"/>
          <w:lang w:val="sq-AL"/>
        </w:rPr>
      </w:pPr>
      <w:r w:rsidRPr="000A15C6">
        <w:rPr>
          <w:rFonts w:ascii="StobiSerif Regular" w:hAnsi="StobiSerif Regular"/>
          <w:lang w:val="sq-AL"/>
        </w:rPr>
        <w:t>Heshtja e administratës nuk duhet të pranohet si praktikë normale administrative, pasi ajo përfaqëson një devijim të drejtpërdrejtë nga parimet themelore të qeverisjes së mirë. Është më shumë sesa pasivitet - është një sinjal i mungesës së disiplinës institucionale, duke injoruar detyrimet ligjore dhe rezistencën sistemike ndaj llogaridhënies publike. Kur heshtja bëhet rregull, jo përjashtim, kjo do të thotë që institucionet publike mohojnë funksionin e tyre parësor - t'u shërbejnë qytetarëve përmes operacioneve të hapura, të arritshme dhe transparente.</w:t>
      </w:r>
    </w:p>
    <w:p w14:paraId="6AABAD8D" w14:textId="77777777" w:rsidR="000A15C6" w:rsidRPr="000A15C6" w:rsidRDefault="000A15C6" w:rsidP="000A15C6">
      <w:pPr>
        <w:pStyle w:val="NormalWeb"/>
        <w:jc w:val="both"/>
        <w:rPr>
          <w:rFonts w:ascii="StobiSerif Regular" w:hAnsi="StobiSerif Regular"/>
          <w:lang w:val="sq-AL"/>
        </w:rPr>
      </w:pPr>
      <w:r w:rsidRPr="000A15C6">
        <w:rPr>
          <w:rFonts w:ascii="StobiSerif Regular" w:hAnsi="StobiSerif Regular"/>
          <w:lang w:val="sq-AL"/>
        </w:rPr>
        <w:t>E drejta për qasje në informacion nuk është një mekanizëm teknik, por një instrument themelor demokratik që mundëson pjesëmarrjen e informuar, parandalon abuzimet dhe forcon besimin e publikut. Çdo mungesë respekti për të - përmes heshtjes së administratës - përfaqëson një akt të përjashtimit institucional të publikut nga proceset e vendimmarrjes.</w:t>
      </w:r>
    </w:p>
    <w:p w14:paraId="2E6F3119" w14:textId="572DE9F1" w:rsidR="00306E39" w:rsidRPr="00381975" w:rsidRDefault="000A15C6" w:rsidP="000A15C6">
      <w:pPr>
        <w:pStyle w:val="NormalWeb"/>
        <w:jc w:val="both"/>
        <w:rPr>
          <w:rFonts w:ascii="StobiSerif Regular" w:hAnsi="StobiSerif Regular"/>
          <w:lang w:val="sq-AL"/>
        </w:rPr>
      </w:pPr>
      <w:r w:rsidRPr="000A15C6">
        <w:rPr>
          <w:rFonts w:ascii="StobiSerif Regular" w:hAnsi="StobiSerif Regular"/>
          <w:lang w:val="sq-AL"/>
        </w:rPr>
        <w:t>Prandaj, heshtja duhet të identifikohet, dokumentohet dhe sanksionohet si një shkelje serioze e interesit publik. Vetëm përmes një administrate proaktive dhe të përgjegjshme mund të ndërtohet një kulturë institucionale në të cilën informacioni jo vetëm që është i arritshëm, por edhe i njohur si një vlerë themelore e rendit demokratik.</w:t>
      </w:r>
    </w:p>
    <w:p w14:paraId="588951F5" w14:textId="2719FF7E" w:rsidR="007F3239" w:rsidRPr="00381975" w:rsidRDefault="007F3239" w:rsidP="00306E39">
      <w:pPr>
        <w:pStyle w:val="NormalWeb"/>
        <w:jc w:val="both"/>
        <w:rPr>
          <w:rFonts w:ascii="StobiSerif Regular" w:hAnsi="StobiSerif Regular"/>
          <w:lang w:val="sq-AL"/>
        </w:rPr>
      </w:pPr>
    </w:p>
    <w:p w14:paraId="2B6B564C" w14:textId="724E3A8C" w:rsidR="007F3239" w:rsidRPr="00381975" w:rsidRDefault="000A15C6" w:rsidP="00306E39">
      <w:pPr>
        <w:pStyle w:val="NormalWeb"/>
        <w:jc w:val="both"/>
        <w:rPr>
          <w:rFonts w:ascii="StobiSerif Regular" w:hAnsi="StobiSerif Regular"/>
          <w:b/>
          <w:bCs/>
          <w:lang w:val="sq-AL"/>
        </w:rPr>
      </w:pPr>
      <w:r>
        <w:rPr>
          <w:rFonts w:ascii="StobiSerif Regular" w:hAnsi="StobiSerif Regular"/>
          <w:b/>
          <w:bCs/>
          <w:lang w:val="sq-AL"/>
        </w:rPr>
        <w:t>Përgatiti</w:t>
      </w:r>
      <w:r w:rsidR="007F3239" w:rsidRPr="00381975">
        <w:rPr>
          <w:rFonts w:ascii="StobiSerif Regular" w:hAnsi="StobiSerif Regular"/>
          <w:b/>
          <w:bCs/>
          <w:lang w:val="sq-AL"/>
        </w:rPr>
        <w:t>:</w:t>
      </w:r>
    </w:p>
    <w:p w14:paraId="6BBD80C1" w14:textId="4E93BA24" w:rsidR="007C2042" w:rsidRPr="000A15C6" w:rsidRDefault="007F3239" w:rsidP="000A15C6">
      <w:pPr>
        <w:pStyle w:val="NormalWeb"/>
        <w:jc w:val="both"/>
        <w:rPr>
          <w:rFonts w:ascii="StobiSerif Regular" w:hAnsi="StobiSerif Regular"/>
          <w:b/>
          <w:bCs/>
          <w:lang w:val="sq-AL"/>
        </w:rPr>
      </w:pPr>
      <w:r w:rsidRPr="00381975">
        <w:rPr>
          <w:rFonts w:ascii="StobiSerif Regular" w:hAnsi="StobiSerif Regular"/>
          <w:b/>
          <w:bCs/>
          <w:lang w:val="sq-AL"/>
        </w:rPr>
        <w:t>Оливер Серафимовски</w:t>
      </w:r>
    </w:p>
    <w:sectPr w:rsidR="007C2042" w:rsidRPr="000A15C6" w:rsidSect="000D738B">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7988B" w14:textId="77777777" w:rsidR="00124316" w:rsidRDefault="00124316" w:rsidP="000D738B">
      <w:pPr>
        <w:spacing w:after="0" w:line="240" w:lineRule="auto"/>
      </w:pPr>
      <w:r>
        <w:separator/>
      </w:r>
    </w:p>
  </w:endnote>
  <w:endnote w:type="continuationSeparator" w:id="0">
    <w:p w14:paraId="56AFC469" w14:textId="77777777" w:rsidR="00124316" w:rsidRDefault="00124316" w:rsidP="000D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306978"/>
      <w:docPartObj>
        <w:docPartGallery w:val="Page Numbers (Bottom of Page)"/>
        <w:docPartUnique/>
      </w:docPartObj>
    </w:sdtPr>
    <w:sdtEndPr>
      <w:rPr>
        <w:noProof/>
      </w:rPr>
    </w:sdtEndPr>
    <w:sdtContent>
      <w:p w14:paraId="21A0B492" w14:textId="3346EA12" w:rsidR="000D738B" w:rsidRDefault="000D738B">
        <w:pPr>
          <w:pStyle w:val="Footer"/>
          <w:jc w:val="right"/>
        </w:pPr>
        <w:r>
          <w:fldChar w:fldCharType="begin"/>
        </w:r>
        <w:r>
          <w:instrText xml:space="preserve"> PAGE   \* MERGEFORMAT </w:instrText>
        </w:r>
        <w:r>
          <w:fldChar w:fldCharType="separate"/>
        </w:r>
        <w:r w:rsidR="00070605">
          <w:rPr>
            <w:noProof/>
          </w:rPr>
          <w:t>8</w:t>
        </w:r>
        <w:r>
          <w:rPr>
            <w:noProof/>
          </w:rPr>
          <w:fldChar w:fldCharType="end"/>
        </w:r>
      </w:p>
    </w:sdtContent>
  </w:sdt>
  <w:p w14:paraId="3E20ACCF" w14:textId="77777777" w:rsidR="000D738B" w:rsidRDefault="000D7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0FF9B" w14:textId="77777777" w:rsidR="00124316" w:rsidRDefault="00124316" w:rsidP="000D738B">
      <w:pPr>
        <w:spacing w:after="0" w:line="240" w:lineRule="auto"/>
      </w:pPr>
      <w:r>
        <w:separator/>
      </w:r>
    </w:p>
  </w:footnote>
  <w:footnote w:type="continuationSeparator" w:id="0">
    <w:p w14:paraId="3B0EAFCA" w14:textId="77777777" w:rsidR="00124316" w:rsidRDefault="00124316" w:rsidP="000D7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153DD"/>
    <w:multiLevelType w:val="multilevel"/>
    <w:tmpl w:val="384E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92477"/>
    <w:multiLevelType w:val="multilevel"/>
    <w:tmpl w:val="40FE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86308"/>
    <w:multiLevelType w:val="hybridMultilevel"/>
    <w:tmpl w:val="CF56B966"/>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3A841318"/>
    <w:multiLevelType w:val="multilevel"/>
    <w:tmpl w:val="65FA9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2A5B8C"/>
    <w:multiLevelType w:val="multilevel"/>
    <w:tmpl w:val="BE60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106FEF"/>
    <w:multiLevelType w:val="hybridMultilevel"/>
    <w:tmpl w:val="E474B91E"/>
    <w:lvl w:ilvl="0" w:tplc="042F0001">
      <w:start w:val="1"/>
      <w:numFmt w:val="bullet"/>
      <w:lvlText w:val=""/>
      <w:lvlJc w:val="left"/>
      <w:pPr>
        <w:ind w:left="643" w:hanging="360"/>
      </w:pPr>
      <w:rPr>
        <w:rFonts w:ascii="Symbol" w:hAnsi="Symbol" w:hint="default"/>
      </w:rPr>
    </w:lvl>
    <w:lvl w:ilvl="1" w:tplc="042F0003" w:tentative="1">
      <w:start w:val="1"/>
      <w:numFmt w:val="bullet"/>
      <w:lvlText w:val="o"/>
      <w:lvlJc w:val="left"/>
      <w:pPr>
        <w:ind w:left="1363" w:hanging="360"/>
      </w:pPr>
      <w:rPr>
        <w:rFonts w:ascii="Courier New" w:hAnsi="Courier New" w:cs="Courier New" w:hint="default"/>
      </w:rPr>
    </w:lvl>
    <w:lvl w:ilvl="2" w:tplc="042F0005" w:tentative="1">
      <w:start w:val="1"/>
      <w:numFmt w:val="bullet"/>
      <w:lvlText w:val=""/>
      <w:lvlJc w:val="left"/>
      <w:pPr>
        <w:ind w:left="2083" w:hanging="360"/>
      </w:pPr>
      <w:rPr>
        <w:rFonts w:ascii="Wingdings" w:hAnsi="Wingdings" w:hint="default"/>
      </w:rPr>
    </w:lvl>
    <w:lvl w:ilvl="3" w:tplc="042F0001" w:tentative="1">
      <w:start w:val="1"/>
      <w:numFmt w:val="bullet"/>
      <w:lvlText w:val=""/>
      <w:lvlJc w:val="left"/>
      <w:pPr>
        <w:ind w:left="2803" w:hanging="360"/>
      </w:pPr>
      <w:rPr>
        <w:rFonts w:ascii="Symbol" w:hAnsi="Symbol" w:hint="default"/>
      </w:rPr>
    </w:lvl>
    <w:lvl w:ilvl="4" w:tplc="042F0003" w:tentative="1">
      <w:start w:val="1"/>
      <w:numFmt w:val="bullet"/>
      <w:lvlText w:val="o"/>
      <w:lvlJc w:val="left"/>
      <w:pPr>
        <w:ind w:left="3523" w:hanging="360"/>
      </w:pPr>
      <w:rPr>
        <w:rFonts w:ascii="Courier New" w:hAnsi="Courier New" w:cs="Courier New" w:hint="default"/>
      </w:rPr>
    </w:lvl>
    <w:lvl w:ilvl="5" w:tplc="042F0005" w:tentative="1">
      <w:start w:val="1"/>
      <w:numFmt w:val="bullet"/>
      <w:lvlText w:val=""/>
      <w:lvlJc w:val="left"/>
      <w:pPr>
        <w:ind w:left="4243" w:hanging="360"/>
      </w:pPr>
      <w:rPr>
        <w:rFonts w:ascii="Wingdings" w:hAnsi="Wingdings" w:hint="default"/>
      </w:rPr>
    </w:lvl>
    <w:lvl w:ilvl="6" w:tplc="042F0001" w:tentative="1">
      <w:start w:val="1"/>
      <w:numFmt w:val="bullet"/>
      <w:lvlText w:val=""/>
      <w:lvlJc w:val="left"/>
      <w:pPr>
        <w:ind w:left="4963" w:hanging="360"/>
      </w:pPr>
      <w:rPr>
        <w:rFonts w:ascii="Symbol" w:hAnsi="Symbol" w:hint="default"/>
      </w:rPr>
    </w:lvl>
    <w:lvl w:ilvl="7" w:tplc="042F0003" w:tentative="1">
      <w:start w:val="1"/>
      <w:numFmt w:val="bullet"/>
      <w:lvlText w:val="o"/>
      <w:lvlJc w:val="left"/>
      <w:pPr>
        <w:ind w:left="5683" w:hanging="360"/>
      </w:pPr>
      <w:rPr>
        <w:rFonts w:ascii="Courier New" w:hAnsi="Courier New" w:cs="Courier New" w:hint="default"/>
      </w:rPr>
    </w:lvl>
    <w:lvl w:ilvl="8" w:tplc="042F0005" w:tentative="1">
      <w:start w:val="1"/>
      <w:numFmt w:val="bullet"/>
      <w:lvlText w:val=""/>
      <w:lvlJc w:val="left"/>
      <w:pPr>
        <w:ind w:left="6403" w:hanging="360"/>
      </w:pPr>
      <w:rPr>
        <w:rFonts w:ascii="Wingdings" w:hAnsi="Wingdings" w:hint="default"/>
      </w:rPr>
    </w:lvl>
  </w:abstractNum>
  <w:abstractNum w:abstractNumId="6" w15:restartNumberingAfterBreak="0">
    <w:nsid w:val="5DF65FF8"/>
    <w:multiLevelType w:val="hybridMultilevel"/>
    <w:tmpl w:val="0DC23D7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619B48F4"/>
    <w:multiLevelType w:val="hybridMultilevel"/>
    <w:tmpl w:val="F1ACF448"/>
    <w:lvl w:ilvl="0" w:tplc="970E9768">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3319EA"/>
    <w:multiLevelType w:val="multilevel"/>
    <w:tmpl w:val="AB7C4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FE201B"/>
    <w:multiLevelType w:val="multilevel"/>
    <w:tmpl w:val="EB72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9"/>
  </w:num>
  <w:num w:numId="5">
    <w:abstractNumId w:val="8"/>
  </w:num>
  <w:num w:numId="6">
    <w:abstractNumId w:val="2"/>
  </w:num>
  <w:num w:numId="7">
    <w:abstractNumId w:val="3"/>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4F"/>
    <w:rsid w:val="00025480"/>
    <w:rsid w:val="00043B22"/>
    <w:rsid w:val="0006053B"/>
    <w:rsid w:val="00070605"/>
    <w:rsid w:val="000A15C6"/>
    <w:rsid w:val="000A344F"/>
    <w:rsid w:val="000A476D"/>
    <w:rsid w:val="000A4BB8"/>
    <w:rsid w:val="000D738B"/>
    <w:rsid w:val="000F3DC7"/>
    <w:rsid w:val="0011268A"/>
    <w:rsid w:val="00124316"/>
    <w:rsid w:val="0012480D"/>
    <w:rsid w:val="00143250"/>
    <w:rsid w:val="00160D14"/>
    <w:rsid w:val="00180887"/>
    <w:rsid w:val="001814FB"/>
    <w:rsid w:val="001875CE"/>
    <w:rsid w:val="001B5664"/>
    <w:rsid w:val="001E6F98"/>
    <w:rsid w:val="001E7998"/>
    <w:rsid w:val="001F7F66"/>
    <w:rsid w:val="002105A6"/>
    <w:rsid w:val="00214611"/>
    <w:rsid w:val="002C5E2A"/>
    <w:rsid w:val="00306E39"/>
    <w:rsid w:val="00322FB7"/>
    <w:rsid w:val="0034154C"/>
    <w:rsid w:val="00361AC0"/>
    <w:rsid w:val="00373204"/>
    <w:rsid w:val="00381265"/>
    <w:rsid w:val="00381975"/>
    <w:rsid w:val="003C2B64"/>
    <w:rsid w:val="004167C3"/>
    <w:rsid w:val="00436A2F"/>
    <w:rsid w:val="00441D0D"/>
    <w:rsid w:val="00446C74"/>
    <w:rsid w:val="00470CD1"/>
    <w:rsid w:val="004838CF"/>
    <w:rsid w:val="00486968"/>
    <w:rsid w:val="004A2F0B"/>
    <w:rsid w:val="0050100E"/>
    <w:rsid w:val="005152F6"/>
    <w:rsid w:val="00572A8F"/>
    <w:rsid w:val="00587C58"/>
    <w:rsid w:val="005926C1"/>
    <w:rsid w:val="00595D47"/>
    <w:rsid w:val="005B0B62"/>
    <w:rsid w:val="005B0D53"/>
    <w:rsid w:val="005C1B7E"/>
    <w:rsid w:val="005D50CF"/>
    <w:rsid w:val="005F7B67"/>
    <w:rsid w:val="006004AA"/>
    <w:rsid w:val="00622610"/>
    <w:rsid w:val="0063289E"/>
    <w:rsid w:val="006330B2"/>
    <w:rsid w:val="00637E11"/>
    <w:rsid w:val="006A6EED"/>
    <w:rsid w:val="006B3689"/>
    <w:rsid w:val="006C423F"/>
    <w:rsid w:val="006C5632"/>
    <w:rsid w:val="006F6946"/>
    <w:rsid w:val="0070569B"/>
    <w:rsid w:val="00707E09"/>
    <w:rsid w:val="00742942"/>
    <w:rsid w:val="00743A5B"/>
    <w:rsid w:val="00763C17"/>
    <w:rsid w:val="007C114E"/>
    <w:rsid w:val="007C2042"/>
    <w:rsid w:val="007E6463"/>
    <w:rsid w:val="007F3239"/>
    <w:rsid w:val="00801511"/>
    <w:rsid w:val="0082563A"/>
    <w:rsid w:val="008314C6"/>
    <w:rsid w:val="0083757A"/>
    <w:rsid w:val="00877693"/>
    <w:rsid w:val="0088304C"/>
    <w:rsid w:val="008945F0"/>
    <w:rsid w:val="008A0414"/>
    <w:rsid w:val="008C100D"/>
    <w:rsid w:val="009251A7"/>
    <w:rsid w:val="00931193"/>
    <w:rsid w:val="009551A6"/>
    <w:rsid w:val="00973681"/>
    <w:rsid w:val="009A0047"/>
    <w:rsid w:val="009B0B61"/>
    <w:rsid w:val="009B3C03"/>
    <w:rsid w:val="009B5456"/>
    <w:rsid w:val="00A063AC"/>
    <w:rsid w:val="00A242B3"/>
    <w:rsid w:val="00A2631E"/>
    <w:rsid w:val="00A62700"/>
    <w:rsid w:val="00A701B1"/>
    <w:rsid w:val="00A756DE"/>
    <w:rsid w:val="00A82678"/>
    <w:rsid w:val="00AF0971"/>
    <w:rsid w:val="00B04B2F"/>
    <w:rsid w:val="00B2524A"/>
    <w:rsid w:val="00B508B4"/>
    <w:rsid w:val="00BC286C"/>
    <w:rsid w:val="00BE0735"/>
    <w:rsid w:val="00BE0B54"/>
    <w:rsid w:val="00BF6D9B"/>
    <w:rsid w:val="00C272D5"/>
    <w:rsid w:val="00C50D47"/>
    <w:rsid w:val="00C65F7B"/>
    <w:rsid w:val="00CC3C38"/>
    <w:rsid w:val="00CD2E3D"/>
    <w:rsid w:val="00CD7482"/>
    <w:rsid w:val="00CE260E"/>
    <w:rsid w:val="00CF1CE6"/>
    <w:rsid w:val="00CF1E53"/>
    <w:rsid w:val="00D03CDA"/>
    <w:rsid w:val="00D17B0C"/>
    <w:rsid w:val="00D27CB0"/>
    <w:rsid w:val="00D5558C"/>
    <w:rsid w:val="00D666A7"/>
    <w:rsid w:val="00D943A3"/>
    <w:rsid w:val="00DE751B"/>
    <w:rsid w:val="00DF43F2"/>
    <w:rsid w:val="00E16A00"/>
    <w:rsid w:val="00E23B1F"/>
    <w:rsid w:val="00E3708E"/>
    <w:rsid w:val="00E55E74"/>
    <w:rsid w:val="00EA4A0B"/>
    <w:rsid w:val="00ED5254"/>
    <w:rsid w:val="00F113CD"/>
    <w:rsid w:val="00F67986"/>
    <w:rsid w:val="00F71397"/>
    <w:rsid w:val="00F73914"/>
    <w:rsid w:val="00F817A2"/>
    <w:rsid w:val="00FA3058"/>
    <w:rsid w:val="00FB5195"/>
    <w:rsid w:val="00FF6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48F8"/>
  <w15:chartTrackingRefBased/>
  <w15:docId w15:val="{39A0528C-00D3-4289-96A0-C8CF9C3D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tobiSerif Regular" w:eastAsiaTheme="minorHAnsi" w:hAnsi="StobiSerif Regular"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06E39"/>
    <w:pPr>
      <w:spacing w:before="100" w:beforeAutospacing="1" w:after="100" w:afterAutospacing="1" w:line="240" w:lineRule="auto"/>
      <w:outlineLvl w:val="2"/>
    </w:pPr>
    <w:rPr>
      <w:rFonts w:ascii="Times New Roman" w:eastAsia="Times New Roman" w:hAnsi="Times New Roman" w:cs="Times New Roman"/>
      <w:b/>
      <w:bCs/>
      <w:sz w:val="27"/>
      <w:szCs w:val="27"/>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38B"/>
  </w:style>
  <w:style w:type="paragraph" w:styleId="Footer">
    <w:name w:val="footer"/>
    <w:basedOn w:val="Normal"/>
    <w:link w:val="FooterChar"/>
    <w:uiPriority w:val="99"/>
    <w:unhideWhenUsed/>
    <w:rsid w:val="000D73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38B"/>
  </w:style>
  <w:style w:type="paragraph" w:styleId="ListParagraph">
    <w:name w:val="List Paragraph"/>
    <w:basedOn w:val="Normal"/>
    <w:uiPriority w:val="34"/>
    <w:qFormat/>
    <w:rsid w:val="00B2524A"/>
    <w:pPr>
      <w:ind w:left="720"/>
      <w:contextualSpacing/>
    </w:pPr>
  </w:style>
  <w:style w:type="character" w:customStyle="1" w:styleId="Heading3Char">
    <w:name w:val="Heading 3 Char"/>
    <w:basedOn w:val="DefaultParagraphFont"/>
    <w:link w:val="Heading3"/>
    <w:uiPriority w:val="9"/>
    <w:rsid w:val="00306E39"/>
    <w:rPr>
      <w:rFonts w:ascii="Times New Roman" w:eastAsia="Times New Roman" w:hAnsi="Times New Roman" w:cs="Times New Roman"/>
      <w:b/>
      <w:bCs/>
      <w:sz w:val="27"/>
      <w:szCs w:val="27"/>
      <w:lang w:val="mk-MK" w:eastAsia="mk-MK"/>
    </w:rPr>
  </w:style>
  <w:style w:type="character" w:styleId="Strong">
    <w:name w:val="Strong"/>
    <w:basedOn w:val="DefaultParagraphFont"/>
    <w:uiPriority w:val="22"/>
    <w:qFormat/>
    <w:rsid w:val="00306E39"/>
    <w:rPr>
      <w:b/>
      <w:bCs/>
    </w:rPr>
  </w:style>
  <w:style w:type="paragraph" w:styleId="NormalWeb">
    <w:name w:val="Normal (Web)"/>
    <w:basedOn w:val="Normal"/>
    <w:uiPriority w:val="99"/>
    <w:unhideWhenUsed/>
    <w:rsid w:val="00306E39"/>
    <w:pPr>
      <w:spacing w:before="100" w:beforeAutospacing="1" w:after="100" w:afterAutospacing="1" w:line="240" w:lineRule="auto"/>
    </w:pPr>
    <w:rPr>
      <w:rFonts w:ascii="Times New Roman" w:eastAsia="Times New Roman" w:hAnsi="Times New Roman" w:cs="Times New Roman"/>
      <w:lang w:val="mk-MK" w:eastAsia="mk-MK"/>
    </w:rPr>
  </w:style>
  <w:style w:type="paragraph" w:customStyle="1" w:styleId="Default">
    <w:name w:val="Default"/>
    <w:rsid w:val="00CE260E"/>
    <w:pPr>
      <w:autoSpaceDE w:val="0"/>
      <w:autoSpaceDN w:val="0"/>
      <w:adjustRightInd w:val="0"/>
      <w:spacing w:after="0" w:line="240" w:lineRule="auto"/>
    </w:pPr>
    <w:rPr>
      <w:rFonts w:ascii="Arial" w:eastAsiaTheme="minorEastAsia" w:hAnsi="Arial" w:cs="Arial"/>
      <w:color w:val="000000"/>
      <w:lang w:val="mk-MK"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63308">
      <w:bodyDiv w:val="1"/>
      <w:marLeft w:val="0"/>
      <w:marRight w:val="0"/>
      <w:marTop w:val="0"/>
      <w:marBottom w:val="0"/>
      <w:divBdr>
        <w:top w:val="none" w:sz="0" w:space="0" w:color="auto"/>
        <w:left w:val="none" w:sz="0" w:space="0" w:color="auto"/>
        <w:bottom w:val="none" w:sz="0" w:space="0" w:color="auto"/>
        <w:right w:val="none" w:sz="0" w:space="0" w:color="auto"/>
      </w:divBdr>
      <w:divsChild>
        <w:div w:id="1579169489">
          <w:marLeft w:val="0"/>
          <w:marRight w:val="0"/>
          <w:marTop w:val="0"/>
          <w:marBottom w:val="0"/>
          <w:divBdr>
            <w:top w:val="none" w:sz="0" w:space="0" w:color="auto"/>
            <w:left w:val="none" w:sz="0" w:space="0" w:color="auto"/>
            <w:bottom w:val="none" w:sz="0" w:space="0" w:color="auto"/>
            <w:right w:val="none" w:sz="0" w:space="0" w:color="auto"/>
          </w:divBdr>
          <w:divsChild>
            <w:div w:id="13458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52586">
      <w:bodyDiv w:val="1"/>
      <w:marLeft w:val="0"/>
      <w:marRight w:val="0"/>
      <w:marTop w:val="0"/>
      <w:marBottom w:val="0"/>
      <w:divBdr>
        <w:top w:val="none" w:sz="0" w:space="0" w:color="auto"/>
        <w:left w:val="none" w:sz="0" w:space="0" w:color="auto"/>
        <w:bottom w:val="none" w:sz="0" w:space="0" w:color="auto"/>
        <w:right w:val="none" w:sz="0" w:space="0" w:color="auto"/>
      </w:divBdr>
    </w:div>
    <w:div w:id="537090528">
      <w:bodyDiv w:val="1"/>
      <w:marLeft w:val="0"/>
      <w:marRight w:val="0"/>
      <w:marTop w:val="0"/>
      <w:marBottom w:val="0"/>
      <w:divBdr>
        <w:top w:val="none" w:sz="0" w:space="0" w:color="auto"/>
        <w:left w:val="none" w:sz="0" w:space="0" w:color="auto"/>
        <w:bottom w:val="none" w:sz="0" w:space="0" w:color="auto"/>
        <w:right w:val="none" w:sz="0" w:space="0" w:color="auto"/>
      </w:divBdr>
    </w:div>
    <w:div w:id="603416680">
      <w:bodyDiv w:val="1"/>
      <w:marLeft w:val="0"/>
      <w:marRight w:val="0"/>
      <w:marTop w:val="0"/>
      <w:marBottom w:val="0"/>
      <w:divBdr>
        <w:top w:val="none" w:sz="0" w:space="0" w:color="auto"/>
        <w:left w:val="none" w:sz="0" w:space="0" w:color="auto"/>
        <w:bottom w:val="none" w:sz="0" w:space="0" w:color="auto"/>
        <w:right w:val="none" w:sz="0" w:space="0" w:color="auto"/>
      </w:divBdr>
    </w:div>
    <w:div w:id="874541480">
      <w:bodyDiv w:val="1"/>
      <w:marLeft w:val="0"/>
      <w:marRight w:val="0"/>
      <w:marTop w:val="0"/>
      <w:marBottom w:val="0"/>
      <w:divBdr>
        <w:top w:val="none" w:sz="0" w:space="0" w:color="auto"/>
        <w:left w:val="none" w:sz="0" w:space="0" w:color="auto"/>
        <w:bottom w:val="none" w:sz="0" w:space="0" w:color="auto"/>
        <w:right w:val="none" w:sz="0" w:space="0" w:color="auto"/>
      </w:divBdr>
    </w:div>
    <w:div w:id="1188447465">
      <w:bodyDiv w:val="1"/>
      <w:marLeft w:val="0"/>
      <w:marRight w:val="0"/>
      <w:marTop w:val="0"/>
      <w:marBottom w:val="0"/>
      <w:divBdr>
        <w:top w:val="none" w:sz="0" w:space="0" w:color="auto"/>
        <w:left w:val="none" w:sz="0" w:space="0" w:color="auto"/>
        <w:bottom w:val="none" w:sz="0" w:space="0" w:color="auto"/>
        <w:right w:val="none" w:sz="0" w:space="0" w:color="auto"/>
      </w:divBdr>
    </w:div>
    <w:div w:id="146855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52577113407699039"/>
          <c:y val="0.15065063594060599"/>
          <c:w val="0.4690205325896763"/>
          <c:h val="0.80986978237905038"/>
        </c:manualLayout>
      </c:layout>
      <c:bar3DChart>
        <c:barDir val="bar"/>
        <c:grouping val="clustered"/>
        <c:varyColors val="0"/>
        <c:ser>
          <c:idx val="0"/>
          <c:order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0.21806853582554517"/>
                  <c:y val="-3.58905288003124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76-4F98-9ECE-29776CCAE754}"/>
                </c:ext>
              </c:extLst>
            </c:dLbl>
            <c:dLbl>
              <c:idx val="1"/>
              <c:layout>
                <c:manualLayout>
                  <c:x val="-1.869495163429951E-2"/>
                  <c:y val="-3.05459766560939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76-4F98-9ECE-29776CCAE754}"/>
                </c:ext>
              </c:extLst>
            </c:dLbl>
            <c:dLbl>
              <c:idx val="2"/>
              <c:layout>
                <c:manualLayout>
                  <c:x val="-3.048365700491343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76-4F98-9ECE-29776CCAE754}"/>
                </c:ext>
              </c:extLst>
            </c:dLbl>
            <c:dLbl>
              <c:idx val="3"/>
              <c:layout>
                <c:manualLayout>
                  <c:x val="-0.1277258566978193"/>
                  <c:y val="-3.58905288003124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76-4F98-9ECE-29776CCAE754}"/>
                </c:ext>
              </c:extLst>
            </c:dLbl>
            <c:dLbl>
              <c:idx val="4"/>
              <c:layout>
                <c:manualLayout>
                  <c:x val="-4.627621113521330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76-4F98-9ECE-29776CCAE75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Word]Sheet1'!$A$2:$A$6</c:f>
              <c:strCache>
                <c:ptCount val="5"/>
                <c:pt idx="0">
                  <c:v>Vendime me të cilat Ankesa miratohet dhe urdhërojnë organin e shkallës së parë të veprojë sipas Kërkesës së Paditësit</c:v>
                </c:pt>
                <c:pt idx="1">
                  <c:v>Vendimet me të cilat Ankesa rrefuzohet si e pa bazë</c:v>
                </c:pt>
                <c:pt idx="2">
                  <c:v>Vendime me të cilat Ankesa rrefuzohet si e pakompletuar</c:v>
                </c:pt>
                <c:pt idx="3">
                  <c:v>Vendimet me të cilat ndalohet procedurën pas një Ankese për shkak të tërheqjes së saj nga kërkuesi për shkak të një përgjigjeje të marrë nga poseduesi gjatë procedurës së shkallës së dytë</c:v>
                </c:pt>
                <c:pt idx="4">
                  <c:v>Vendime të kthyera përsëri në proceduim tek poseduesi i informacioneve</c:v>
                </c:pt>
              </c:strCache>
            </c:strRef>
          </c:cat>
          <c:val>
            <c:numRef>
              <c:f>'[Chart in Microsoft Word]Sheet1'!$B$2:$B$6</c:f>
              <c:numCache>
                <c:formatCode>General</c:formatCode>
                <c:ptCount val="5"/>
                <c:pt idx="0">
                  <c:v>149</c:v>
                </c:pt>
                <c:pt idx="1">
                  <c:v>5</c:v>
                </c:pt>
                <c:pt idx="2">
                  <c:v>12</c:v>
                </c:pt>
                <c:pt idx="3">
                  <c:v>49</c:v>
                </c:pt>
                <c:pt idx="4">
                  <c:v>19</c:v>
                </c:pt>
              </c:numCache>
            </c:numRef>
          </c:val>
          <c:extLst>
            <c:ext xmlns:c16="http://schemas.microsoft.com/office/drawing/2014/chart" uri="{C3380CC4-5D6E-409C-BE32-E72D297353CC}">
              <c16:uniqueId val="{00000005-5876-4F98-9ECE-29776CCAE754}"/>
            </c:ext>
          </c:extLst>
        </c:ser>
        <c:dLbls>
          <c:showLegendKey val="0"/>
          <c:showVal val="1"/>
          <c:showCatName val="0"/>
          <c:showSerName val="0"/>
          <c:showPercent val="0"/>
          <c:showBubbleSize val="0"/>
        </c:dLbls>
        <c:gapWidth val="150"/>
        <c:shape val="box"/>
        <c:axId val="1560950767"/>
        <c:axId val="1481519375"/>
        <c:axId val="0"/>
      </c:bar3DChart>
      <c:catAx>
        <c:axId val="1560950767"/>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481519375"/>
        <c:crosses val="autoZero"/>
        <c:auto val="1"/>
        <c:lblAlgn val="ctr"/>
        <c:lblOffset val="100"/>
        <c:noMultiLvlLbl val="0"/>
      </c:catAx>
      <c:valAx>
        <c:axId val="148151937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560950767"/>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4">
  <a:schemeClr val="accent4"/>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2271-7C95-45B9-8BFC-AAC0B4024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2727</Words>
  <Characters>15548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dc:creator>
  <cp:keywords/>
  <dc:description/>
  <cp:lastModifiedBy>Valon Mustafa</cp:lastModifiedBy>
  <cp:revision>2</cp:revision>
  <cp:lastPrinted>2025-07-30T10:57:00Z</cp:lastPrinted>
  <dcterms:created xsi:type="dcterms:W3CDTF">2025-08-05T19:53:00Z</dcterms:created>
  <dcterms:modified xsi:type="dcterms:W3CDTF">2025-08-05T19:53:00Z</dcterms:modified>
</cp:coreProperties>
</file>