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1BF8" w14:textId="77777777" w:rsidR="00B33532" w:rsidRPr="00EE06A2" w:rsidRDefault="00B33532" w:rsidP="00B33532">
      <w:pPr>
        <w:spacing w:after="27"/>
        <w:ind w:left="144" w:hanging="10"/>
        <w:jc w:val="center"/>
        <w:rPr>
          <w:rFonts w:eastAsia="Calibri" w:cs="Calibri"/>
          <w:sz w:val="22"/>
          <w:szCs w:val="22"/>
          <w:lang w:val="en-US"/>
        </w:rPr>
      </w:pPr>
      <w:bookmarkStart w:id="0" w:name="_heading=h.gjdgxs" w:colFirst="0" w:colLast="0"/>
      <w:bookmarkEnd w:id="0"/>
      <w:r w:rsidRPr="00EE06A2">
        <w:rPr>
          <w:rFonts w:eastAsia="Stobi Serif" w:cs="Stobi Serif"/>
          <w:noProof/>
          <w:color w:val="000000"/>
          <w:sz w:val="22"/>
          <w:szCs w:val="22"/>
        </w:rPr>
        <w:drawing>
          <wp:inline distT="0" distB="0" distL="0" distR="0" wp14:anchorId="7086B6F0" wp14:editId="7B251383">
            <wp:extent cx="206223" cy="521923"/>
            <wp:effectExtent l="0" t="0" r="0" b="0"/>
            <wp:docPr id="7172"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6223" cy="521923"/>
                    </a:xfrm>
                    <a:prstGeom prst="rect">
                      <a:avLst/>
                    </a:prstGeom>
                    <a:ln/>
                  </pic:spPr>
                </pic:pic>
              </a:graphicData>
            </a:graphic>
          </wp:inline>
        </w:drawing>
      </w:r>
      <w:r w:rsidRPr="00EE06A2">
        <w:rPr>
          <w:rFonts w:eastAsia="Calibri" w:cs="Calibri"/>
          <w:sz w:val="22"/>
          <w:szCs w:val="22"/>
        </w:rPr>
        <w:t xml:space="preserve">      </w:t>
      </w:r>
    </w:p>
    <w:p w14:paraId="52039E1C" w14:textId="77777777" w:rsidR="00B33532" w:rsidRPr="00EE06A2" w:rsidRDefault="00B33532" w:rsidP="00B33532">
      <w:pPr>
        <w:spacing w:after="27"/>
        <w:ind w:left="144" w:hanging="10"/>
        <w:jc w:val="center"/>
        <w:rPr>
          <w:rFonts w:eastAsia="Calibri" w:cs="Calibri"/>
          <w:color w:val="002060"/>
          <w:sz w:val="22"/>
          <w:szCs w:val="22"/>
        </w:rPr>
      </w:pPr>
    </w:p>
    <w:p w14:paraId="6FD567AB" w14:textId="77777777" w:rsidR="00B33532" w:rsidRPr="00EE06A2" w:rsidRDefault="00B33532" w:rsidP="00B33532">
      <w:pPr>
        <w:spacing w:after="27"/>
        <w:ind w:left="144" w:hanging="10"/>
        <w:jc w:val="center"/>
        <w:rPr>
          <w:rFonts w:eastAsia="Stobi Serif" w:cs="Stobi Serif"/>
          <w:b/>
          <w:bCs/>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E06A2">
        <w:rPr>
          <w:rFonts w:eastAsia="Stobi Serif" w:cs="Stobi Serif"/>
          <w:b/>
          <w:bCs/>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АГЕНЦИЈА ЗА ЗАШТИТА НА ПРАВОТО НА СЛОБОДЕН ПРИСТАП ДО ИНФОРМАЦИИТЕ ОД ЈАВЕН КАРАКТЕР</w:t>
      </w:r>
    </w:p>
    <w:p w14:paraId="68F7009B" w14:textId="77777777" w:rsidR="00B33532" w:rsidRPr="00EE06A2" w:rsidRDefault="00B33532" w:rsidP="00B33532">
      <w:pPr>
        <w:spacing w:after="27"/>
        <w:ind w:left="144" w:hanging="10"/>
        <w:jc w:val="center"/>
        <w:rPr>
          <w:rFonts w:eastAsia="Stobi Serif" w:cs="Stobi Serif"/>
          <w:b/>
          <w:bCs/>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6DF3351" w14:textId="77777777" w:rsidR="00B33532" w:rsidRPr="00EE06A2" w:rsidRDefault="00B33532" w:rsidP="00B33532">
      <w:pPr>
        <w:spacing w:after="27"/>
        <w:ind w:left="144" w:hanging="10"/>
        <w:jc w:val="center"/>
        <w:rPr>
          <w:rFonts w:eastAsia="Stobi Serif" w:cs="Stobi Serif"/>
          <w:b/>
          <w:bCs/>
          <w:color w:val="00206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E06A2">
        <w:rPr>
          <w:rFonts w:eastAsia="Stobi Serif" w:cs="Stobi Serif"/>
          <w:b/>
          <w:bCs/>
          <w:color w:val="00206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СЛОБОДНИОТ ПРИСТАП ДО ИНФОРМАЦИИ ОД ЈАВЕН КАРАКТЕР ВО ЗЕМЈИТЕ НА ЗАПАДЕН БАЛКАН: МОЛКОТ НА АДМИНИСТРАЦИЈАТА КАКО СИСТЕМСКА ПРЕЧКА ЗА ТРАНСПАРЕНТНОСТА</w:t>
      </w:r>
    </w:p>
    <w:p w14:paraId="1BC091AE" w14:textId="77777777" w:rsidR="00B33532" w:rsidRPr="00EE06A2" w:rsidRDefault="00B33532" w:rsidP="00B33532">
      <w:pPr>
        <w:spacing w:after="27"/>
        <w:rPr>
          <w:rFonts w:eastAsia="Stobi Serif" w:cs="Stobi Serif"/>
          <w:b/>
          <w:bCs/>
          <w:color w:val="002060"/>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5A17F3A" w14:textId="36AEB6A6" w:rsidR="00B33532" w:rsidRPr="00EE06A2" w:rsidRDefault="00195B8F" w:rsidP="00B33532">
      <w:pPr>
        <w:pStyle w:val="NormalWeb"/>
        <w:rPr>
          <w:rFonts w:ascii="StobiSerif Regular" w:hAnsi="StobiSerif Regular"/>
        </w:rPr>
      </w:pPr>
      <w:r>
        <w:rPr>
          <w:noProof/>
        </w:rPr>
        <w:drawing>
          <wp:inline distT="0" distB="0" distL="0" distR="0" wp14:anchorId="67A1BDC4" wp14:editId="0BE3436A">
            <wp:extent cx="5731186" cy="3886200"/>
            <wp:effectExtent l="0" t="0" r="3175" b="0"/>
            <wp:docPr id="3" name="Picture 2" descr="Zakon o slobodnom pristupu informacijama je donekle unapredio istraživačko  novinarstvo - Vojvođanski istraživačko-analitički centar &quot;VO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kon o slobodnom pristupu informacijama je donekle unapredio istraživačko  novinarstvo - Vojvođanski istraživačko-analitički centar &quot;VOIC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596" cy="3891903"/>
                    </a:xfrm>
                    <a:prstGeom prst="rect">
                      <a:avLst/>
                    </a:prstGeom>
                    <a:noFill/>
                    <a:ln>
                      <a:noFill/>
                    </a:ln>
                  </pic:spPr>
                </pic:pic>
              </a:graphicData>
            </a:graphic>
          </wp:inline>
        </w:drawing>
      </w:r>
    </w:p>
    <w:p w14:paraId="5F9AA4B1" w14:textId="77777777" w:rsidR="00B33532" w:rsidRPr="00EE06A2" w:rsidRDefault="00B33532" w:rsidP="00B33532">
      <w:pPr>
        <w:spacing w:after="27"/>
        <w:rPr>
          <w:rFonts w:eastAsia="Stobi Serif" w:cs="Stobi Serif"/>
          <w:b/>
          <w:color w:val="000000"/>
          <w:lang w:val="en-US"/>
        </w:rPr>
      </w:pPr>
    </w:p>
    <w:p w14:paraId="4AAD0539" w14:textId="77777777" w:rsidR="00B33532" w:rsidRPr="00EE06A2" w:rsidRDefault="00B33532" w:rsidP="00B33532">
      <w:pPr>
        <w:rPr>
          <w:rFonts w:eastAsia="Calibri" w:cs="Calibri"/>
          <w:sz w:val="22"/>
          <w:szCs w:val="22"/>
        </w:rPr>
      </w:pPr>
    </w:p>
    <w:p w14:paraId="6AAE3D43" w14:textId="77777777" w:rsidR="00B33532" w:rsidRPr="00EE06A2" w:rsidRDefault="00B33532" w:rsidP="00B33532">
      <w:pPr>
        <w:jc w:val="center"/>
        <w:rPr>
          <w:rFonts w:eastAsia="Calibri" w:cs="Calibri"/>
          <w:b/>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E06A2">
        <w:rPr>
          <w:rFonts w:eastAsia="Calibri" w:cs="Calibri"/>
          <w:b/>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Скопје, </w:t>
      </w:r>
      <w:proofErr w:type="spellStart"/>
      <w:r w:rsidRPr="00EE06A2">
        <w:rPr>
          <w:rFonts w:eastAsia="Calibri" w:cs="Calibri"/>
          <w:b/>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ју</w:t>
      </w:r>
      <w:proofErr w:type="spellEnd"/>
      <w:r w:rsidRPr="00EE06A2">
        <w:rPr>
          <w:rFonts w:eastAsia="Calibri" w:cs="Calibri"/>
          <w:b/>
          <w:color w:val="002060"/>
          <w:lang w:val="mk-M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л</w:t>
      </w:r>
      <w:r w:rsidRPr="00EE06A2">
        <w:rPr>
          <w:rFonts w:eastAsia="Calibri" w:cs="Calibri"/>
          <w:b/>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и 2025 </w:t>
      </w:r>
      <w:proofErr w:type="spellStart"/>
      <w:r w:rsidRPr="00EE06A2">
        <w:rPr>
          <w:rFonts w:eastAsia="Calibri" w:cs="Calibri"/>
          <w:b/>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година</w:t>
      </w:r>
      <w:proofErr w:type="spellEnd"/>
    </w:p>
    <w:p w14:paraId="39712036" w14:textId="77777777"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lastRenderedPageBreak/>
        <w:t>Земјите од Западен Балкан се соочуваат со сериозни системски пречки во имплементацијата на правото на слободен пристап до информации од јавен карактер (СПИЈК), при што молкот на администрацијата – непостапувањето по барања за информации во законски пропишаниот рок – останува клучна форма на институционална неотчетност.</w:t>
      </w:r>
      <w:r w:rsidRPr="00EE06A2">
        <w:rPr>
          <w:rStyle w:val="FootnoteReference"/>
          <w:rFonts w:eastAsia="Times New Roman" w:cs="Times New Roman"/>
          <w:lang w:val="mk-MK" w:eastAsia="mk-MK"/>
        </w:rPr>
        <w:footnoteReference w:id="1"/>
      </w:r>
      <w:r w:rsidRPr="00EE06A2">
        <w:rPr>
          <w:rFonts w:eastAsia="Times New Roman" w:cs="Times New Roman"/>
          <w:lang w:val="mk-MK" w:eastAsia="mk-MK"/>
        </w:rPr>
        <w:t xml:space="preserve"> Оваа анализа претставува компарација на состојбата во шест земји од регионот</w:t>
      </w:r>
      <w:r w:rsidRPr="00EE06A2">
        <w:rPr>
          <w:rStyle w:val="FootnoteReference"/>
          <w:rFonts w:eastAsia="Times New Roman" w:cs="Times New Roman"/>
          <w:lang w:val="mk-MK" w:eastAsia="mk-MK"/>
        </w:rPr>
        <w:footnoteReference w:id="2"/>
      </w:r>
      <w:r w:rsidRPr="00EE06A2">
        <w:rPr>
          <w:rFonts w:eastAsia="Times New Roman" w:cs="Times New Roman"/>
          <w:lang w:val="mk-MK" w:eastAsia="mk-MK"/>
        </w:rPr>
        <w:t xml:space="preserve"> (Северна Македонија, Албанија, Косово, Црна Гора, Србија и Босна и Херцеговина), базирана на податоци за 2023 и 2024 година. Анализата истовремено нуди и примери од судската пракса и идентификува основни причини и последици од молкот на администрацијата, со јасни препораки за надминување на системската затвореност на институциите.</w:t>
      </w:r>
    </w:p>
    <w:p w14:paraId="43ED8E89" w14:textId="77777777" w:rsidR="00B33532" w:rsidRPr="00EE06A2" w:rsidRDefault="00B33532" w:rsidP="00B33532">
      <w:pPr>
        <w:spacing w:before="100" w:beforeAutospacing="1" w:after="100" w:afterAutospacing="1" w:line="240" w:lineRule="auto"/>
        <w:jc w:val="both"/>
        <w:rPr>
          <w:rFonts w:eastAsia="Times New Roman" w:cs="Times New Roman"/>
          <w:sz w:val="27"/>
          <w:szCs w:val="27"/>
          <w:lang w:val="mk-MK" w:eastAsia="mk-MK"/>
        </w:rPr>
      </w:pPr>
      <w:r w:rsidRPr="00EE06A2">
        <w:rPr>
          <w:rFonts w:eastAsia="Times New Roman" w:cs="Times New Roman"/>
          <w:b/>
          <w:bCs/>
          <w:sz w:val="27"/>
          <w:szCs w:val="27"/>
          <w:lang w:val="mk-MK" w:eastAsia="mk-MK"/>
        </w:rPr>
        <w:t>Контекст и значење на правото на пристап до информации</w:t>
      </w:r>
    </w:p>
    <w:p w14:paraId="0B81EC39" w14:textId="77777777"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Правото на пристап до информации од јавен карактер претставува темелен демократски механизам кој овозможува контрола на власта, намалување на корупцијата и зајакнување на јавната доверба. Во контекст на Западен Балкан, каде демократизацијата и европската интеграција се сè уште во тек, ефективноста на ова право е од суштинско значење.</w:t>
      </w:r>
      <w:r w:rsidRPr="00EE06A2">
        <w:rPr>
          <w:rStyle w:val="FootnoteReference"/>
          <w:rFonts w:eastAsia="Times New Roman" w:cs="Times New Roman"/>
          <w:lang w:val="mk-MK" w:eastAsia="mk-MK"/>
        </w:rPr>
        <w:footnoteReference w:id="3"/>
      </w:r>
      <w:r w:rsidRPr="00EE06A2">
        <w:rPr>
          <w:rFonts w:eastAsia="Times New Roman" w:cs="Times New Roman"/>
          <w:lang w:val="mk-MK" w:eastAsia="mk-MK"/>
        </w:rPr>
        <w:t xml:space="preserve"> Европската Унија во своите извештаи за 2023 и 2024 година укажува дека степенот на транспарентност преку СПИЈК е директен индикатор за зрелоста на институционалното владеење.</w:t>
      </w:r>
    </w:p>
    <w:p w14:paraId="12500101" w14:textId="77777777" w:rsidR="00B33532" w:rsidRPr="00EE06A2" w:rsidRDefault="00B33532" w:rsidP="00B33532">
      <w:pPr>
        <w:spacing w:before="100" w:beforeAutospacing="1" w:after="100" w:afterAutospacing="1" w:line="240" w:lineRule="auto"/>
        <w:jc w:val="both"/>
        <w:rPr>
          <w:rFonts w:eastAsia="Times New Roman" w:cs="Times New Roman"/>
          <w:sz w:val="27"/>
          <w:szCs w:val="27"/>
          <w:lang w:val="mk-MK" w:eastAsia="mk-MK"/>
        </w:rPr>
      </w:pPr>
      <w:r w:rsidRPr="00EE06A2">
        <w:rPr>
          <w:rFonts w:eastAsia="Times New Roman" w:cs="Times New Roman"/>
          <w:b/>
          <w:bCs/>
          <w:sz w:val="27"/>
          <w:szCs w:val="27"/>
          <w:lang w:val="mk-MK" w:eastAsia="mk-MK"/>
        </w:rPr>
        <w:t>Главни причини за молкот на администрацијата</w:t>
      </w:r>
    </w:p>
    <w:p w14:paraId="224342FB" w14:textId="77777777" w:rsidR="00B33532" w:rsidRPr="00EE06A2" w:rsidRDefault="00B33532" w:rsidP="00B33532">
      <w:pPr>
        <w:numPr>
          <w:ilvl w:val="0"/>
          <w:numId w:val="2"/>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Политичка волја и институционален отпор кон транспарентноста:</w:t>
      </w:r>
      <w:r w:rsidRPr="00EE06A2">
        <w:rPr>
          <w:rFonts w:eastAsia="Times New Roman" w:cs="Times New Roman"/>
          <w:lang w:val="mk-MK" w:eastAsia="mk-MK"/>
        </w:rPr>
        <w:t xml:space="preserve"> Во многу случаи, институциите свесно избегнуваат да одговорат на барања за информации кога тие се поврзани со чувствителни или компромитирачки теми. Политичките структури честопати ја третираат транспарентноста како закана, особено кога станува збор за информации кои откриваат злоупотреба на јавни ресурси или судири на интереси. Овој отпор е особено изразен пред изборни циклуси или при медиумско истражување.</w:t>
      </w:r>
    </w:p>
    <w:p w14:paraId="096D52D5" w14:textId="77777777" w:rsidR="00B33532" w:rsidRPr="00EE06A2" w:rsidRDefault="00B33532" w:rsidP="00B33532">
      <w:pPr>
        <w:numPr>
          <w:ilvl w:val="0"/>
          <w:numId w:val="2"/>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Недоволна култура на отчетност и институционална инерција:</w:t>
      </w:r>
      <w:r w:rsidRPr="00EE06A2">
        <w:rPr>
          <w:rFonts w:eastAsia="Times New Roman" w:cs="Times New Roman"/>
          <w:lang w:val="mk-MK" w:eastAsia="mk-MK"/>
        </w:rPr>
        <w:t xml:space="preserve"> Голем дел од службениците го перципираат правото на пристап до </w:t>
      </w:r>
      <w:r w:rsidRPr="00EE06A2">
        <w:rPr>
          <w:rFonts w:eastAsia="Times New Roman" w:cs="Times New Roman"/>
          <w:lang w:val="mk-MK" w:eastAsia="mk-MK"/>
        </w:rPr>
        <w:lastRenderedPageBreak/>
        <w:t>информации како бирократска обврска, а не како демократска вредност. Отсуствува внатрешна култура на отчетност, па дури и кога не постои политички притисок, институциите не постапуваат проактивно. Во многу случаи, информациите се чуваат во несредени архиви, а бараните податоци не се систематизирани.</w:t>
      </w:r>
    </w:p>
    <w:p w14:paraId="420F58F8" w14:textId="77777777" w:rsidR="00B33532" w:rsidRPr="00EE06A2" w:rsidRDefault="00B33532" w:rsidP="00B33532">
      <w:pPr>
        <w:numPr>
          <w:ilvl w:val="0"/>
          <w:numId w:val="2"/>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Капацитети и технолошки ограничувања:</w:t>
      </w:r>
      <w:r w:rsidRPr="00EE06A2">
        <w:rPr>
          <w:rFonts w:eastAsia="Times New Roman" w:cs="Times New Roman"/>
          <w:lang w:val="mk-MK" w:eastAsia="mk-MK"/>
        </w:rPr>
        <w:t xml:space="preserve"> Многу институции се соочуваат со сериозен недостиг на стручен кадар кој е обучен за постапување по барања за информации. Понатаму, голем број органи немаат современи системи за електронска евиденција на документи, што ја отежнува обработката и достапноста на информациите. Во дел од случаите, барањата не можат ни да се проследат внатрешно поради административна фрагментација и нефункционална координација.</w:t>
      </w:r>
    </w:p>
    <w:p w14:paraId="61D506A5" w14:textId="77777777" w:rsidR="00B33532" w:rsidRPr="00EE06A2" w:rsidRDefault="00B33532" w:rsidP="00B33532">
      <w:pPr>
        <w:numPr>
          <w:ilvl w:val="0"/>
          <w:numId w:val="2"/>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Механизми за санкционирање кои не се применуваат во пракса:</w:t>
      </w:r>
      <w:r w:rsidRPr="00EE06A2">
        <w:rPr>
          <w:rFonts w:eastAsia="Times New Roman" w:cs="Times New Roman"/>
          <w:lang w:val="mk-MK" w:eastAsia="mk-MK"/>
        </w:rPr>
        <w:t xml:space="preserve"> Иако законите во речиси сите земји од регионот предвидуваат санкции за непостапување, тие ретко се изрекуваат. Надзорните тела во некои земји немаат извршни овластувања, или пак институциите едноставно ги игнорираат нивните налози. Ова создава чувство на неказнивост и дополнително го охрабрува молкот на администрацијата.</w:t>
      </w:r>
      <w:r w:rsidRPr="00EE06A2">
        <w:rPr>
          <w:rStyle w:val="FootnoteReference"/>
          <w:rFonts w:eastAsia="Times New Roman" w:cs="Times New Roman"/>
          <w:lang w:val="mk-MK" w:eastAsia="mk-MK"/>
        </w:rPr>
        <w:footnoteReference w:id="4"/>
      </w:r>
      <w:r w:rsidRPr="00EE06A2">
        <w:rPr>
          <w:rFonts w:eastAsia="Times New Roman" w:cs="Times New Roman"/>
          <w:lang w:val="mk-MK" w:eastAsia="mk-MK"/>
        </w:rPr>
        <w:t xml:space="preserve"> Дури и кога ќе се изрече санкција, таа често е минимална и без реален ефект.</w:t>
      </w:r>
    </w:p>
    <w:p w14:paraId="446CDF01" w14:textId="77777777" w:rsidR="00B33532" w:rsidRPr="00EE06A2" w:rsidRDefault="00B33532" w:rsidP="00B33532">
      <w:pPr>
        <w:numPr>
          <w:ilvl w:val="0"/>
          <w:numId w:val="2"/>
        </w:numPr>
        <w:spacing w:before="100" w:beforeAutospacing="1" w:after="100" w:afterAutospacing="1" w:line="240" w:lineRule="auto"/>
        <w:jc w:val="both"/>
        <w:rPr>
          <w:rFonts w:eastAsia="Times New Roman" w:cs="Times New Roman"/>
          <w:lang w:val="mk-MK" w:eastAsia="mk-MK"/>
        </w:rPr>
      </w:pPr>
      <w:proofErr w:type="spellStart"/>
      <w:r w:rsidRPr="00EE06A2">
        <w:rPr>
          <w:rStyle w:val="Strong"/>
        </w:rPr>
        <w:t>Култура</w:t>
      </w:r>
      <w:proofErr w:type="spellEnd"/>
      <w:r w:rsidRPr="00EE06A2">
        <w:rPr>
          <w:rStyle w:val="Strong"/>
        </w:rPr>
        <w:t xml:space="preserve"> на </w:t>
      </w:r>
      <w:proofErr w:type="spellStart"/>
      <w:r w:rsidRPr="00EE06A2">
        <w:rPr>
          <w:rStyle w:val="Strong"/>
        </w:rPr>
        <w:t>страв</w:t>
      </w:r>
      <w:proofErr w:type="spellEnd"/>
      <w:r w:rsidRPr="00EE06A2">
        <w:rPr>
          <w:rStyle w:val="Strong"/>
        </w:rPr>
        <w:t xml:space="preserve"> и </w:t>
      </w:r>
      <w:proofErr w:type="spellStart"/>
      <w:r w:rsidRPr="00EE06A2">
        <w:rPr>
          <w:rStyle w:val="Strong"/>
        </w:rPr>
        <w:t>избегнување</w:t>
      </w:r>
      <w:proofErr w:type="spellEnd"/>
      <w:r w:rsidRPr="00EE06A2">
        <w:rPr>
          <w:rStyle w:val="Strong"/>
        </w:rPr>
        <w:t xml:space="preserve"> </w:t>
      </w:r>
      <w:r w:rsidRPr="00EE06A2">
        <w:rPr>
          <w:rStyle w:val="Strong"/>
          <w:lang w:val="mk-MK"/>
        </w:rPr>
        <w:t xml:space="preserve">на </w:t>
      </w:r>
      <w:proofErr w:type="spellStart"/>
      <w:r w:rsidRPr="00EE06A2">
        <w:rPr>
          <w:rStyle w:val="Strong"/>
        </w:rPr>
        <w:t>одговорност</w:t>
      </w:r>
      <w:proofErr w:type="spellEnd"/>
      <w:r w:rsidRPr="00EE06A2">
        <w:rPr>
          <w:rStyle w:val="Strong"/>
        </w:rPr>
        <w:t>:</w:t>
      </w:r>
      <w:r w:rsidRPr="00EE06A2">
        <w:t xml:space="preserve"> </w:t>
      </w:r>
      <w:proofErr w:type="spellStart"/>
      <w:r w:rsidRPr="00EE06A2">
        <w:t>Во</w:t>
      </w:r>
      <w:proofErr w:type="spellEnd"/>
      <w:r w:rsidRPr="00EE06A2">
        <w:t xml:space="preserve"> </w:t>
      </w:r>
      <w:proofErr w:type="spellStart"/>
      <w:r w:rsidRPr="00EE06A2">
        <w:t>административната</w:t>
      </w:r>
      <w:proofErr w:type="spellEnd"/>
      <w:r w:rsidRPr="00EE06A2">
        <w:t xml:space="preserve"> </w:t>
      </w:r>
      <w:proofErr w:type="spellStart"/>
      <w:r w:rsidRPr="00EE06A2">
        <w:t>прак</w:t>
      </w:r>
      <w:proofErr w:type="spellEnd"/>
      <w:r w:rsidRPr="00EE06A2">
        <w:rPr>
          <w:lang w:val="mk-MK"/>
        </w:rPr>
        <w:t>са</w:t>
      </w:r>
      <w:r w:rsidRPr="00EE06A2">
        <w:t xml:space="preserve"> </w:t>
      </w:r>
      <w:proofErr w:type="spellStart"/>
      <w:r w:rsidRPr="00EE06A2">
        <w:t>често</w:t>
      </w:r>
      <w:proofErr w:type="spellEnd"/>
      <w:r w:rsidRPr="00EE06A2">
        <w:t xml:space="preserve"> </w:t>
      </w:r>
      <w:proofErr w:type="spellStart"/>
      <w:r w:rsidRPr="00EE06A2">
        <w:t>се</w:t>
      </w:r>
      <w:proofErr w:type="spellEnd"/>
      <w:r w:rsidRPr="00EE06A2">
        <w:t xml:space="preserve"> </w:t>
      </w:r>
      <w:proofErr w:type="spellStart"/>
      <w:r w:rsidRPr="00EE06A2">
        <w:t>забележува</w:t>
      </w:r>
      <w:proofErr w:type="spellEnd"/>
      <w:r w:rsidRPr="00EE06A2">
        <w:t xml:space="preserve"> </w:t>
      </w:r>
      <w:proofErr w:type="spellStart"/>
      <w:r w:rsidRPr="00EE06A2">
        <w:t>воздржаност</w:t>
      </w:r>
      <w:proofErr w:type="spellEnd"/>
      <w:r w:rsidRPr="00EE06A2">
        <w:t xml:space="preserve"> </w:t>
      </w:r>
      <w:proofErr w:type="spellStart"/>
      <w:r w:rsidRPr="00EE06A2">
        <w:t>кај</w:t>
      </w:r>
      <w:proofErr w:type="spellEnd"/>
      <w:r w:rsidRPr="00EE06A2">
        <w:t xml:space="preserve"> </w:t>
      </w:r>
      <w:proofErr w:type="spellStart"/>
      <w:r w:rsidRPr="00EE06A2">
        <w:t>одредени</w:t>
      </w:r>
      <w:proofErr w:type="spellEnd"/>
      <w:r w:rsidRPr="00EE06A2">
        <w:t xml:space="preserve"> </w:t>
      </w:r>
      <w:proofErr w:type="spellStart"/>
      <w:r w:rsidRPr="00EE06A2">
        <w:t>службеници</w:t>
      </w:r>
      <w:proofErr w:type="spellEnd"/>
      <w:r w:rsidRPr="00EE06A2">
        <w:t xml:space="preserve"> </w:t>
      </w:r>
      <w:proofErr w:type="spellStart"/>
      <w:r w:rsidRPr="00EE06A2">
        <w:t>при</w:t>
      </w:r>
      <w:proofErr w:type="spellEnd"/>
      <w:r w:rsidRPr="00EE06A2">
        <w:t xml:space="preserve"> </w:t>
      </w:r>
      <w:proofErr w:type="spellStart"/>
      <w:r w:rsidRPr="00EE06A2">
        <w:t>доставување</w:t>
      </w:r>
      <w:proofErr w:type="spellEnd"/>
      <w:r w:rsidRPr="00EE06A2">
        <w:t xml:space="preserve"> </w:t>
      </w:r>
      <w:proofErr w:type="spellStart"/>
      <w:r w:rsidRPr="00EE06A2">
        <w:t>информации</w:t>
      </w:r>
      <w:proofErr w:type="spellEnd"/>
      <w:r w:rsidRPr="00EE06A2">
        <w:t xml:space="preserve">, </w:t>
      </w:r>
      <w:proofErr w:type="spellStart"/>
      <w:r w:rsidRPr="00EE06A2">
        <w:t>поттикната</w:t>
      </w:r>
      <w:proofErr w:type="spellEnd"/>
      <w:r w:rsidRPr="00EE06A2">
        <w:t xml:space="preserve"> </w:t>
      </w:r>
      <w:proofErr w:type="spellStart"/>
      <w:r w:rsidRPr="00EE06A2">
        <w:t>од</w:t>
      </w:r>
      <w:proofErr w:type="spellEnd"/>
      <w:r w:rsidRPr="00EE06A2">
        <w:t xml:space="preserve"> </w:t>
      </w:r>
      <w:proofErr w:type="spellStart"/>
      <w:r w:rsidRPr="00EE06A2">
        <w:t>страв</w:t>
      </w:r>
      <w:proofErr w:type="spellEnd"/>
      <w:r w:rsidRPr="00EE06A2">
        <w:t xml:space="preserve"> </w:t>
      </w:r>
      <w:proofErr w:type="spellStart"/>
      <w:r w:rsidRPr="00EE06A2">
        <w:t>дека</w:t>
      </w:r>
      <w:proofErr w:type="spellEnd"/>
      <w:r w:rsidRPr="00EE06A2">
        <w:t xml:space="preserve"> </w:t>
      </w:r>
      <w:proofErr w:type="spellStart"/>
      <w:r w:rsidRPr="00EE06A2">
        <w:t>нивното</w:t>
      </w:r>
      <w:proofErr w:type="spellEnd"/>
      <w:r w:rsidRPr="00EE06A2">
        <w:t xml:space="preserve"> </w:t>
      </w:r>
      <w:proofErr w:type="spellStart"/>
      <w:r w:rsidRPr="00EE06A2">
        <w:t>обелоденување</w:t>
      </w:r>
      <w:proofErr w:type="spellEnd"/>
      <w:r w:rsidRPr="00EE06A2">
        <w:t xml:space="preserve"> </w:t>
      </w:r>
      <w:proofErr w:type="spellStart"/>
      <w:r w:rsidRPr="00EE06A2">
        <w:t>може</w:t>
      </w:r>
      <w:proofErr w:type="spellEnd"/>
      <w:r w:rsidRPr="00EE06A2">
        <w:t xml:space="preserve"> </w:t>
      </w:r>
      <w:proofErr w:type="spellStart"/>
      <w:r w:rsidRPr="00EE06A2">
        <w:t>да</w:t>
      </w:r>
      <w:proofErr w:type="spellEnd"/>
      <w:r w:rsidRPr="00EE06A2">
        <w:t xml:space="preserve"> </w:t>
      </w:r>
      <w:proofErr w:type="spellStart"/>
      <w:r w:rsidRPr="00EE06A2">
        <w:t>открие</w:t>
      </w:r>
      <w:proofErr w:type="spellEnd"/>
      <w:r w:rsidRPr="00EE06A2">
        <w:t xml:space="preserve"> </w:t>
      </w:r>
      <w:proofErr w:type="spellStart"/>
      <w:r w:rsidRPr="00EE06A2">
        <w:t>институционални</w:t>
      </w:r>
      <w:proofErr w:type="spellEnd"/>
      <w:r w:rsidRPr="00EE06A2">
        <w:t xml:space="preserve"> </w:t>
      </w:r>
      <w:proofErr w:type="spellStart"/>
      <w:r w:rsidRPr="00EE06A2">
        <w:t>пропусти</w:t>
      </w:r>
      <w:proofErr w:type="spellEnd"/>
      <w:r w:rsidRPr="00EE06A2">
        <w:t xml:space="preserve">, </w:t>
      </w:r>
      <w:proofErr w:type="spellStart"/>
      <w:r w:rsidRPr="00EE06A2">
        <w:t>неправилности</w:t>
      </w:r>
      <w:proofErr w:type="spellEnd"/>
      <w:r w:rsidRPr="00EE06A2">
        <w:t xml:space="preserve"> </w:t>
      </w:r>
      <w:proofErr w:type="spellStart"/>
      <w:r w:rsidRPr="00EE06A2">
        <w:t>или</w:t>
      </w:r>
      <w:proofErr w:type="spellEnd"/>
      <w:r w:rsidRPr="00EE06A2">
        <w:t xml:space="preserve"> </w:t>
      </w:r>
      <w:proofErr w:type="spellStart"/>
      <w:r w:rsidRPr="00EE06A2">
        <w:t>незаконитости</w:t>
      </w:r>
      <w:proofErr w:type="spellEnd"/>
      <w:r w:rsidRPr="00EE06A2">
        <w:t xml:space="preserve">, </w:t>
      </w:r>
      <w:proofErr w:type="spellStart"/>
      <w:r w:rsidRPr="00EE06A2">
        <w:t>како</w:t>
      </w:r>
      <w:proofErr w:type="spellEnd"/>
      <w:r w:rsidRPr="00EE06A2">
        <w:t xml:space="preserve"> и </w:t>
      </w:r>
      <w:proofErr w:type="spellStart"/>
      <w:r w:rsidRPr="00EE06A2">
        <w:t>да</w:t>
      </w:r>
      <w:proofErr w:type="spellEnd"/>
      <w:r w:rsidRPr="00EE06A2">
        <w:t xml:space="preserve"> </w:t>
      </w:r>
      <w:proofErr w:type="spellStart"/>
      <w:r w:rsidRPr="00EE06A2">
        <w:t>предизвика</w:t>
      </w:r>
      <w:proofErr w:type="spellEnd"/>
      <w:r w:rsidRPr="00EE06A2">
        <w:t xml:space="preserve"> </w:t>
      </w:r>
      <w:proofErr w:type="spellStart"/>
      <w:r w:rsidRPr="00EE06A2">
        <w:t>негативни</w:t>
      </w:r>
      <w:proofErr w:type="spellEnd"/>
      <w:r w:rsidRPr="00EE06A2">
        <w:t xml:space="preserve"> </w:t>
      </w:r>
      <w:proofErr w:type="spellStart"/>
      <w:r w:rsidRPr="00EE06A2">
        <w:t>реакции</w:t>
      </w:r>
      <w:proofErr w:type="spellEnd"/>
      <w:r w:rsidRPr="00EE06A2">
        <w:t xml:space="preserve"> </w:t>
      </w:r>
      <w:proofErr w:type="spellStart"/>
      <w:r w:rsidRPr="00EE06A2">
        <w:t>од</w:t>
      </w:r>
      <w:proofErr w:type="spellEnd"/>
      <w:r w:rsidRPr="00EE06A2">
        <w:t xml:space="preserve"> </w:t>
      </w:r>
      <w:proofErr w:type="spellStart"/>
      <w:r w:rsidRPr="00EE06A2">
        <w:t>јавноста</w:t>
      </w:r>
      <w:proofErr w:type="spellEnd"/>
      <w:r w:rsidRPr="00EE06A2">
        <w:t xml:space="preserve"> </w:t>
      </w:r>
      <w:proofErr w:type="spellStart"/>
      <w:r w:rsidRPr="00EE06A2">
        <w:t>или</w:t>
      </w:r>
      <w:proofErr w:type="spellEnd"/>
      <w:r w:rsidRPr="00EE06A2">
        <w:t xml:space="preserve"> </w:t>
      </w:r>
      <w:proofErr w:type="spellStart"/>
      <w:r w:rsidRPr="00EE06A2">
        <w:t>медиумите</w:t>
      </w:r>
      <w:proofErr w:type="spellEnd"/>
      <w:r w:rsidRPr="00EE06A2">
        <w:t xml:space="preserve">. </w:t>
      </w:r>
      <w:proofErr w:type="spellStart"/>
      <w:r w:rsidRPr="00EE06A2">
        <w:t>Овој</w:t>
      </w:r>
      <w:proofErr w:type="spellEnd"/>
      <w:r w:rsidRPr="00EE06A2">
        <w:t xml:space="preserve"> </w:t>
      </w:r>
      <w:proofErr w:type="spellStart"/>
      <w:r w:rsidRPr="00EE06A2">
        <w:t>страв</w:t>
      </w:r>
      <w:proofErr w:type="spellEnd"/>
      <w:r w:rsidRPr="00EE06A2">
        <w:t xml:space="preserve"> </w:t>
      </w:r>
      <w:proofErr w:type="spellStart"/>
      <w:r w:rsidRPr="00EE06A2">
        <w:t>доведува</w:t>
      </w:r>
      <w:proofErr w:type="spellEnd"/>
      <w:r w:rsidRPr="00EE06A2">
        <w:t xml:space="preserve"> </w:t>
      </w:r>
      <w:proofErr w:type="spellStart"/>
      <w:r w:rsidRPr="00EE06A2">
        <w:t>до</w:t>
      </w:r>
      <w:proofErr w:type="spellEnd"/>
      <w:r w:rsidRPr="00EE06A2">
        <w:t xml:space="preserve"> </w:t>
      </w:r>
      <w:proofErr w:type="spellStart"/>
      <w:r w:rsidRPr="00EE06A2">
        <w:t>создавање</w:t>
      </w:r>
      <w:proofErr w:type="spellEnd"/>
      <w:r w:rsidRPr="00EE06A2">
        <w:t xml:space="preserve"> на „</w:t>
      </w:r>
      <w:proofErr w:type="spellStart"/>
      <w:r w:rsidRPr="00EE06A2">
        <w:t>култура</w:t>
      </w:r>
      <w:proofErr w:type="spellEnd"/>
      <w:r w:rsidRPr="00EE06A2">
        <w:t xml:space="preserve"> на </w:t>
      </w:r>
      <w:proofErr w:type="spellStart"/>
      <w:proofErr w:type="gramStart"/>
      <w:r w:rsidRPr="00EE06A2">
        <w:t>страв</w:t>
      </w:r>
      <w:proofErr w:type="spellEnd"/>
      <w:r w:rsidRPr="00EE06A2">
        <w:rPr>
          <w:lang w:val="mk-MK"/>
        </w:rPr>
        <w:t xml:space="preserve">“ </w:t>
      </w:r>
      <w:proofErr w:type="spellStart"/>
      <w:r w:rsidRPr="00EE06A2">
        <w:t>во</w:t>
      </w:r>
      <w:proofErr w:type="spellEnd"/>
      <w:proofErr w:type="gramEnd"/>
      <w:r w:rsidRPr="00EE06A2">
        <w:t xml:space="preserve"> </w:t>
      </w:r>
      <w:proofErr w:type="spellStart"/>
      <w:r w:rsidRPr="00EE06A2">
        <w:t>институциите</w:t>
      </w:r>
      <w:proofErr w:type="spellEnd"/>
      <w:r w:rsidRPr="00EE06A2">
        <w:t xml:space="preserve"> – </w:t>
      </w:r>
      <w:proofErr w:type="spellStart"/>
      <w:r w:rsidRPr="00EE06A2">
        <w:t>амбиент</w:t>
      </w:r>
      <w:proofErr w:type="spellEnd"/>
      <w:r w:rsidRPr="00EE06A2">
        <w:t xml:space="preserve"> </w:t>
      </w:r>
      <w:proofErr w:type="spellStart"/>
      <w:r w:rsidRPr="00EE06A2">
        <w:t>во</w:t>
      </w:r>
      <w:proofErr w:type="spellEnd"/>
      <w:r w:rsidRPr="00EE06A2">
        <w:t xml:space="preserve"> </w:t>
      </w:r>
      <w:proofErr w:type="spellStart"/>
      <w:r w:rsidRPr="00EE06A2">
        <w:t>кој</w:t>
      </w:r>
      <w:proofErr w:type="spellEnd"/>
      <w:r w:rsidRPr="00EE06A2">
        <w:t xml:space="preserve"> </w:t>
      </w:r>
      <w:proofErr w:type="spellStart"/>
      <w:r w:rsidRPr="00EE06A2">
        <w:t>владее</w:t>
      </w:r>
      <w:proofErr w:type="spellEnd"/>
      <w:r w:rsidRPr="00EE06A2">
        <w:t xml:space="preserve"> </w:t>
      </w:r>
      <w:proofErr w:type="spellStart"/>
      <w:r w:rsidRPr="00EE06A2">
        <w:t>претпазливост</w:t>
      </w:r>
      <w:proofErr w:type="spellEnd"/>
      <w:r w:rsidRPr="00EE06A2">
        <w:t xml:space="preserve"> и </w:t>
      </w:r>
      <w:proofErr w:type="spellStart"/>
      <w:r w:rsidRPr="00EE06A2">
        <w:t>самозаштитничко</w:t>
      </w:r>
      <w:proofErr w:type="spellEnd"/>
      <w:r w:rsidRPr="00EE06A2">
        <w:t xml:space="preserve"> </w:t>
      </w:r>
      <w:proofErr w:type="spellStart"/>
      <w:r w:rsidRPr="00EE06A2">
        <w:t>однесување</w:t>
      </w:r>
      <w:proofErr w:type="spellEnd"/>
      <w:r w:rsidRPr="00EE06A2">
        <w:t xml:space="preserve">, </w:t>
      </w:r>
      <w:proofErr w:type="spellStart"/>
      <w:r w:rsidRPr="00EE06A2">
        <w:t>дури</w:t>
      </w:r>
      <w:proofErr w:type="spellEnd"/>
      <w:r w:rsidRPr="00EE06A2">
        <w:t xml:space="preserve"> и </w:t>
      </w:r>
      <w:proofErr w:type="spellStart"/>
      <w:r w:rsidRPr="00EE06A2">
        <w:t>во</w:t>
      </w:r>
      <w:proofErr w:type="spellEnd"/>
      <w:r w:rsidRPr="00EE06A2">
        <w:t xml:space="preserve"> </w:t>
      </w:r>
      <w:proofErr w:type="spellStart"/>
      <w:r w:rsidRPr="00EE06A2">
        <w:t>ситуации</w:t>
      </w:r>
      <w:proofErr w:type="spellEnd"/>
      <w:r w:rsidRPr="00EE06A2">
        <w:t xml:space="preserve"> </w:t>
      </w:r>
      <w:proofErr w:type="spellStart"/>
      <w:r w:rsidRPr="00EE06A2">
        <w:t>кога</w:t>
      </w:r>
      <w:proofErr w:type="spellEnd"/>
      <w:r w:rsidRPr="00EE06A2">
        <w:t xml:space="preserve"> </w:t>
      </w:r>
      <w:proofErr w:type="spellStart"/>
      <w:r w:rsidRPr="00EE06A2">
        <w:t>барањето</w:t>
      </w:r>
      <w:proofErr w:type="spellEnd"/>
      <w:r w:rsidRPr="00EE06A2">
        <w:t xml:space="preserve"> </w:t>
      </w:r>
      <w:proofErr w:type="spellStart"/>
      <w:r w:rsidRPr="00EE06A2">
        <w:t>се</w:t>
      </w:r>
      <w:proofErr w:type="spellEnd"/>
      <w:r w:rsidRPr="00EE06A2">
        <w:t xml:space="preserve"> </w:t>
      </w:r>
      <w:proofErr w:type="spellStart"/>
      <w:r w:rsidRPr="00EE06A2">
        <w:t>однесува</w:t>
      </w:r>
      <w:proofErr w:type="spellEnd"/>
      <w:r w:rsidRPr="00EE06A2">
        <w:t xml:space="preserve"> на </w:t>
      </w:r>
      <w:proofErr w:type="spellStart"/>
      <w:r w:rsidRPr="00EE06A2">
        <w:t>информации</w:t>
      </w:r>
      <w:proofErr w:type="spellEnd"/>
      <w:r w:rsidRPr="00EE06A2">
        <w:t xml:space="preserve"> </w:t>
      </w:r>
      <w:proofErr w:type="spellStart"/>
      <w:r w:rsidRPr="00EE06A2">
        <w:t>кои</w:t>
      </w:r>
      <w:proofErr w:type="spellEnd"/>
      <w:r w:rsidRPr="00EE06A2">
        <w:t xml:space="preserve"> </w:t>
      </w:r>
      <w:proofErr w:type="spellStart"/>
      <w:r w:rsidRPr="00EE06A2">
        <w:t>по</w:t>
      </w:r>
      <w:proofErr w:type="spellEnd"/>
      <w:r w:rsidRPr="00EE06A2">
        <w:t xml:space="preserve"> </w:t>
      </w:r>
      <w:proofErr w:type="spellStart"/>
      <w:r w:rsidRPr="00EE06A2">
        <w:t>својата</w:t>
      </w:r>
      <w:proofErr w:type="spellEnd"/>
      <w:r w:rsidRPr="00EE06A2">
        <w:t xml:space="preserve"> </w:t>
      </w:r>
      <w:proofErr w:type="spellStart"/>
      <w:r w:rsidRPr="00EE06A2">
        <w:t>природа</w:t>
      </w:r>
      <w:proofErr w:type="spellEnd"/>
      <w:r w:rsidRPr="00EE06A2">
        <w:t xml:space="preserve"> </w:t>
      </w:r>
      <w:proofErr w:type="spellStart"/>
      <w:r w:rsidRPr="00EE06A2">
        <w:t>не</w:t>
      </w:r>
      <w:proofErr w:type="spellEnd"/>
      <w:r w:rsidRPr="00EE06A2">
        <w:t xml:space="preserve"> </w:t>
      </w:r>
      <w:proofErr w:type="spellStart"/>
      <w:r w:rsidRPr="00EE06A2">
        <w:t>се</w:t>
      </w:r>
      <w:proofErr w:type="spellEnd"/>
      <w:r w:rsidRPr="00EE06A2">
        <w:t xml:space="preserve"> </w:t>
      </w:r>
      <w:proofErr w:type="spellStart"/>
      <w:r w:rsidRPr="00EE06A2">
        <w:t>чувствителни</w:t>
      </w:r>
      <w:proofErr w:type="spellEnd"/>
      <w:r w:rsidRPr="00EE06A2">
        <w:t xml:space="preserve"> </w:t>
      </w:r>
      <w:proofErr w:type="spellStart"/>
      <w:r w:rsidRPr="00EE06A2">
        <w:t>или</w:t>
      </w:r>
      <w:proofErr w:type="spellEnd"/>
      <w:r w:rsidRPr="00EE06A2">
        <w:t xml:space="preserve"> </w:t>
      </w:r>
      <w:proofErr w:type="spellStart"/>
      <w:r w:rsidRPr="00EE06A2">
        <w:t>штетни</w:t>
      </w:r>
      <w:proofErr w:type="spellEnd"/>
      <w:r w:rsidRPr="00EE06A2">
        <w:t xml:space="preserve">. </w:t>
      </w:r>
      <w:proofErr w:type="spellStart"/>
      <w:r w:rsidRPr="00EE06A2">
        <w:t>Таквиот</w:t>
      </w:r>
      <w:proofErr w:type="spellEnd"/>
      <w:r w:rsidRPr="00EE06A2">
        <w:t xml:space="preserve"> </w:t>
      </w:r>
      <w:proofErr w:type="spellStart"/>
      <w:r w:rsidRPr="00EE06A2">
        <w:t>пристап</w:t>
      </w:r>
      <w:proofErr w:type="spellEnd"/>
      <w:r w:rsidRPr="00EE06A2">
        <w:t xml:space="preserve"> </w:t>
      </w:r>
      <w:proofErr w:type="spellStart"/>
      <w:r w:rsidRPr="00EE06A2">
        <w:t>го</w:t>
      </w:r>
      <w:proofErr w:type="spellEnd"/>
      <w:r w:rsidRPr="00EE06A2">
        <w:t xml:space="preserve"> </w:t>
      </w:r>
      <w:proofErr w:type="spellStart"/>
      <w:r w:rsidRPr="00EE06A2">
        <w:t>поткопува</w:t>
      </w:r>
      <w:proofErr w:type="spellEnd"/>
      <w:r w:rsidRPr="00EE06A2">
        <w:t xml:space="preserve"> </w:t>
      </w:r>
      <w:proofErr w:type="spellStart"/>
      <w:r w:rsidRPr="00EE06A2">
        <w:t>принципот</w:t>
      </w:r>
      <w:proofErr w:type="spellEnd"/>
      <w:r w:rsidRPr="00EE06A2">
        <w:t xml:space="preserve"> на </w:t>
      </w:r>
      <w:proofErr w:type="spellStart"/>
      <w:r w:rsidRPr="00EE06A2">
        <w:t>транспарентност</w:t>
      </w:r>
      <w:proofErr w:type="spellEnd"/>
      <w:r w:rsidRPr="00EE06A2">
        <w:t xml:space="preserve"> и </w:t>
      </w:r>
      <w:proofErr w:type="spellStart"/>
      <w:r w:rsidRPr="00EE06A2">
        <w:t>ја</w:t>
      </w:r>
      <w:proofErr w:type="spellEnd"/>
      <w:r w:rsidRPr="00EE06A2">
        <w:t xml:space="preserve"> </w:t>
      </w:r>
      <w:proofErr w:type="spellStart"/>
      <w:r w:rsidRPr="00EE06A2">
        <w:t>разнишува</w:t>
      </w:r>
      <w:proofErr w:type="spellEnd"/>
      <w:r w:rsidRPr="00EE06A2">
        <w:t xml:space="preserve"> </w:t>
      </w:r>
      <w:proofErr w:type="spellStart"/>
      <w:r w:rsidRPr="00EE06A2">
        <w:t>довербата</w:t>
      </w:r>
      <w:proofErr w:type="spellEnd"/>
      <w:r w:rsidRPr="00EE06A2">
        <w:t xml:space="preserve"> на </w:t>
      </w:r>
      <w:proofErr w:type="spellStart"/>
      <w:r w:rsidRPr="00EE06A2">
        <w:t>јавноста</w:t>
      </w:r>
      <w:proofErr w:type="spellEnd"/>
      <w:r w:rsidRPr="00EE06A2">
        <w:t xml:space="preserve"> </w:t>
      </w:r>
      <w:proofErr w:type="spellStart"/>
      <w:r w:rsidRPr="00EE06A2">
        <w:t>во</w:t>
      </w:r>
      <w:proofErr w:type="spellEnd"/>
      <w:r w:rsidRPr="00EE06A2">
        <w:t xml:space="preserve"> </w:t>
      </w:r>
      <w:proofErr w:type="spellStart"/>
      <w:r w:rsidRPr="00EE06A2">
        <w:t>институциите</w:t>
      </w:r>
      <w:proofErr w:type="spellEnd"/>
      <w:r w:rsidRPr="00EE06A2">
        <w:t>.</w:t>
      </w:r>
    </w:p>
    <w:p w14:paraId="3F5932BB" w14:textId="69FB582D" w:rsidR="00E524DE" w:rsidRPr="00195B8F" w:rsidRDefault="00B33532" w:rsidP="00E524DE">
      <w:pPr>
        <w:numPr>
          <w:ilvl w:val="0"/>
          <w:numId w:val="2"/>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Нејасни законски формулации и правна несигурност:</w:t>
      </w:r>
      <w:r w:rsidRPr="00EE06A2">
        <w:rPr>
          <w:rFonts w:eastAsia="Times New Roman" w:cs="Times New Roman"/>
          <w:lang w:val="mk-MK" w:eastAsia="mk-MK"/>
        </w:rPr>
        <w:t xml:space="preserve"> Во некои случаи, институциите ја злоупотребуваат правната нејасност околу поимите како „доставување информации“, „заштитен податок“, „интерен документ“, за да одложат или целосно одбијат одговор. Ова </w:t>
      </w:r>
      <w:r w:rsidRPr="00EE06A2">
        <w:rPr>
          <w:rFonts w:eastAsia="Times New Roman" w:cs="Times New Roman"/>
          <w:lang w:val="mk-MK" w:eastAsia="mk-MK"/>
        </w:rPr>
        <w:lastRenderedPageBreak/>
        <w:t>дополнително ја комплицира работата на надзорните тела и ја слабее предвидливоста на правниот систем.</w:t>
      </w:r>
    </w:p>
    <w:p w14:paraId="55C6AC43" w14:textId="77777777" w:rsidR="00B33532" w:rsidRPr="00EE06A2" w:rsidRDefault="00B33532" w:rsidP="00B33532">
      <w:pPr>
        <w:spacing w:before="100" w:beforeAutospacing="1" w:after="100" w:afterAutospacing="1" w:line="240" w:lineRule="auto"/>
        <w:jc w:val="both"/>
        <w:rPr>
          <w:rFonts w:eastAsia="Times New Roman" w:cs="Times New Roman"/>
          <w:sz w:val="27"/>
          <w:szCs w:val="27"/>
          <w:lang w:val="mk-MK" w:eastAsia="mk-MK"/>
        </w:rPr>
      </w:pPr>
      <w:r w:rsidRPr="00EE06A2">
        <w:rPr>
          <w:rFonts w:eastAsia="Times New Roman" w:cs="Times New Roman"/>
          <w:b/>
          <w:bCs/>
          <w:sz w:val="27"/>
          <w:szCs w:val="27"/>
          <w:lang w:val="mk-MK" w:eastAsia="mk-MK"/>
        </w:rPr>
        <w:t>Динамика и трендови на молкот на администрацијата (2023–2024)</w:t>
      </w:r>
    </w:p>
    <w:p w14:paraId="41CB7396" w14:textId="25E95CC0" w:rsidR="00B33532" w:rsidRPr="00EE06A2" w:rsidRDefault="00B33532" w:rsidP="00B33532">
      <w:pPr>
        <w:pStyle w:val="NormalWeb"/>
        <w:jc w:val="both"/>
        <w:rPr>
          <w:rFonts w:ascii="StobiSerif Regular" w:hAnsi="StobiSerif Regular"/>
        </w:rPr>
      </w:pPr>
      <w:r w:rsidRPr="00EE06A2">
        <w:rPr>
          <w:rFonts w:ascii="StobiSerif Regular" w:hAnsi="StobiSerif Regular"/>
        </w:rPr>
        <w:t>Во периодот 2023–2024 година, просечната стапка на молкот на администрацијата во земјите од Западен Балкан достигна загрижувачки 56,3%, што укажува на сериозен застој во спроведувањето на правото на пристап до информации</w:t>
      </w:r>
      <w:r w:rsidRPr="00EE06A2">
        <w:rPr>
          <w:rStyle w:val="FootnoteReference"/>
          <w:rFonts w:ascii="StobiSerif Regular" w:hAnsi="StobiSerif Regular"/>
        </w:rPr>
        <w:footnoteReference w:id="5"/>
      </w:r>
      <w:r w:rsidRPr="00EE06A2">
        <w:rPr>
          <w:rFonts w:ascii="StobiSerif Regular" w:hAnsi="StobiSerif Regular"/>
        </w:rPr>
        <w:t xml:space="preserve"> од јавен карактер. Иако формално повеќе земји од регионот усвоија нови или изготвија измени на законите за слободен пристап до информации, а донесоа и стратегии за зголемување на транспарентноста, ваквите мерки не резултираа со конкретно намалување на молкот од страна на институциите.</w:t>
      </w:r>
    </w:p>
    <w:p w14:paraId="351E14E3" w14:textId="77777777" w:rsidR="00B33532" w:rsidRPr="00EE06A2" w:rsidRDefault="00B33532" w:rsidP="00B33532">
      <w:pPr>
        <w:pStyle w:val="NormalWeb"/>
        <w:jc w:val="both"/>
        <w:rPr>
          <w:rFonts w:ascii="StobiSerif Regular" w:hAnsi="StobiSerif Regular"/>
        </w:rPr>
      </w:pPr>
      <w:r w:rsidRPr="00EE06A2">
        <w:rPr>
          <w:rFonts w:ascii="StobiSerif Regular" w:hAnsi="StobiSerif Regular"/>
        </w:rPr>
        <w:t>Анализата на податоците, заснована врз консолидирани податоци од извештаите на надзорните тела, граѓанските организации и меѓународните организации, потврдува дека молкот не е случаен пропуст или последица на индивидуални грешки, туку укажува на длабоко вкоренет институционален образец на избегнување на отчетноста. Во многу случаи, молкот се користи како механизам за одбегнување на чувствителни прашања</w:t>
      </w:r>
      <w:r w:rsidRPr="00EE06A2">
        <w:rPr>
          <w:rStyle w:val="FootnoteReference"/>
          <w:rFonts w:ascii="StobiSerif Regular" w:hAnsi="StobiSerif Regular"/>
        </w:rPr>
        <w:footnoteReference w:id="6"/>
      </w:r>
      <w:r w:rsidRPr="00EE06A2">
        <w:rPr>
          <w:rFonts w:ascii="StobiSerif Regular" w:hAnsi="StobiSerif Regular"/>
        </w:rPr>
        <w:t>, заштита на коруптивни практики или прикривање на неефикасност во јавната администрација.</w:t>
      </w:r>
    </w:p>
    <w:p w14:paraId="5E1428AC" w14:textId="6490AC73" w:rsidR="00B33532" w:rsidRPr="00EE06A2" w:rsidRDefault="00B33532" w:rsidP="00B33532">
      <w:pPr>
        <w:pStyle w:val="NormalWeb"/>
        <w:jc w:val="both"/>
        <w:rPr>
          <w:rFonts w:ascii="StobiSerif Regular" w:hAnsi="StobiSerif Regular"/>
        </w:rPr>
      </w:pPr>
      <w:r w:rsidRPr="00EE06A2">
        <w:rPr>
          <w:rFonts w:ascii="StobiSerif Regular" w:hAnsi="StobiSerif Regular"/>
        </w:rPr>
        <w:t>Особено е проблематичен фактот што молкот најчесто останува несанкциониран, и покрај постоењето на законски рокови за одговор. Притоа, молкот најмногу ги погодува истражувачките новинари, активистите и граѓанските организации, кои зависат од навремени и точни информации за да ги извршуваат своите надзорни и контролни улоги во демократското општество</w:t>
      </w:r>
      <w:r w:rsidR="000C26A7" w:rsidRPr="000C26A7">
        <w:t xml:space="preserve"> </w:t>
      </w:r>
      <w:r w:rsidR="000C26A7" w:rsidRPr="000C26A7">
        <w:rPr>
          <w:rFonts w:ascii="StobiSerif Regular" w:hAnsi="StobiSerif Regular"/>
        </w:rPr>
        <w:t xml:space="preserve">и да ја остварат својата општествена улога, а тоа е да </w:t>
      </w:r>
      <w:r w:rsidR="000C26A7">
        <w:rPr>
          <w:rFonts w:ascii="StobiSerif Regular" w:hAnsi="StobiSerif Regular"/>
        </w:rPr>
        <w:t xml:space="preserve">ја </w:t>
      </w:r>
      <w:r w:rsidR="000C26A7" w:rsidRPr="000C26A7">
        <w:rPr>
          <w:rFonts w:ascii="StobiSerif Regular" w:hAnsi="StobiSerif Regular"/>
        </w:rPr>
        <w:t>информираат јавноста за прашања од јавен интерес, да промовираат отчетност и одговорност на институциите, како и да придонесат кон транспарентност и учеството на граѓаните во демократските процеси</w:t>
      </w:r>
      <w:r w:rsidRPr="00EE06A2">
        <w:rPr>
          <w:rFonts w:ascii="StobiSerif Regular" w:hAnsi="StobiSerif Regular"/>
        </w:rPr>
        <w:t>.</w:t>
      </w:r>
    </w:p>
    <w:p w14:paraId="4493514F" w14:textId="6A72B619" w:rsidR="00E524DE" w:rsidRPr="00EE06A2" w:rsidRDefault="00B33532" w:rsidP="00B33532">
      <w:pPr>
        <w:pStyle w:val="NormalWeb"/>
        <w:jc w:val="both"/>
        <w:rPr>
          <w:rFonts w:ascii="StobiSerif Regular" w:hAnsi="StobiSerif Regular"/>
        </w:rPr>
      </w:pPr>
      <w:r w:rsidRPr="00EE06A2">
        <w:rPr>
          <w:rFonts w:ascii="StobiSerif Regular" w:hAnsi="StobiSerif Regular"/>
        </w:rPr>
        <w:t>Оттука, наместо да биде исклучок, молкот на администрацијата станува системска пракса која го поткопува јавниот интерес, транспарентноста и владеењето на правото во регионот.</w:t>
      </w:r>
    </w:p>
    <w:p w14:paraId="6DFF785B" w14:textId="77777777"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lastRenderedPageBreak/>
        <w:t>Најпогодени сектори:</w:t>
      </w:r>
    </w:p>
    <w:p w14:paraId="7CB934BD" w14:textId="77777777" w:rsidR="00B33532" w:rsidRPr="00EE06A2" w:rsidRDefault="00B33532" w:rsidP="00B33532">
      <w:pPr>
        <w:numPr>
          <w:ilvl w:val="0"/>
          <w:numId w:val="1"/>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Јавните набавки и буџетската транспарентност;</w:t>
      </w:r>
    </w:p>
    <w:p w14:paraId="68293643" w14:textId="77777777" w:rsidR="00B33532" w:rsidRPr="00EE06A2" w:rsidRDefault="00B33532" w:rsidP="00B33532">
      <w:pPr>
        <w:numPr>
          <w:ilvl w:val="0"/>
          <w:numId w:val="1"/>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Финансирање на политичките субјекти;</w:t>
      </w:r>
    </w:p>
    <w:p w14:paraId="10138F12" w14:textId="77777777" w:rsidR="00B33532" w:rsidRPr="00EE06A2" w:rsidRDefault="00B33532" w:rsidP="00B33532">
      <w:pPr>
        <w:numPr>
          <w:ilvl w:val="0"/>
          <w:numId w:val="1"/>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Управување со јавните претпријатија;</w:t>
      </w:r>
    </w:p>
    <w:p w14:paraId="79E2DE2F" w14:textId="72AABEDE" w:rsidR="00B33532" w:rsidRPr="00195B8F" w:rsidRDefault="00B33532" w:rsidP="00B33532">
      <w:pPr>
        <w:numPr>
          <w:ilvl w:val="0"/>
          <w:numId w:val="1"/>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Инфраструктурни проекти со висок ризик од корупција.</w:t>
      </w:r>
    </w:p>
    <w:p w14:paraId="0F729961" w14:textId="77777777" w:rsidR="00B33532" w:rsidRPr="00EE06A2" w:rsidRDefault="00B33532" w:rsidP="00B33532">
      <w:pPr>
        <w:spacing w:before="100" w:beforeAutospacing="1" w:after="100" w:afterAutospacing="1" w:line="240" w:lineRule="auto"/>
        <w:jc w:val="both"/>
        <w:outlineLvl w:val="1"/>
        <w:rPr>
          <w:rFonts w:eastAsia="Times New Roman" w:cs="Times New Roman"/>
          <w:b/>
          <w:bCs/>
          <w:sz w:val="27"/>
          <w:szCs w:val="27"/>
          <w:lang w:val="mk-MK" w:eastAsia="mk-MK"/>
        </w:rPr>
      </w:pPr>
      <w:r w:rsidRPr="00EE06A2">
        <w:rPr>
          <w:rFonts w:eastAsia="Times New Roman" w:cs="Times New Roman"/>
          <w:b/>
          <w:bCs/>
          <w:sz w:val="27"/>
          <w:szCs w:val="27"/>
          <w:lang w:val="mk-MK" w:eastAsia="mk-MK"/>
        </w:rPr>
        <w:t>Анализа на состојбата со правото на информирање и улогата на судовите во регионот</w:t>
      </w:r>
    </w:p>
    <w:p w14:paraId="3A72CBB8" w14:textId="56361A0F" w:rsidR="00B33532" w:rsidRPr="00EE06A2" w:rsidRDefault="00B33532" w:rsidP="00B33532">
      <w:pPr>
        <w:spacing w:before="100" w:beforeAutospacing="1" w:after="100" w:afterAutospacing="1" w:line="240" w:lineRule="auto"/>
        <w:jc w:val="both"/>
        <w:rPr>
          <w:rFonts w:eastAsia="Times New Roman" w:cs="Times New Roman"/>
          <w:lang w:val="en-US" w:eastAsia="mk-MK"/>
        </w:rPr>
      </w:pPr>
      <w:r w:rsidRPr="00EE06A2">
        <w:rPr>
          <w:rFonts w:eastAsia="Times New Roman" w:cs="Times New Roman"/>
          <w:lang w:val="mk-MK" w:eastAsia="mk-MK"/>
        </w:rPr>
        <w:t xml:space="preserve">Иако судовите во регионот бележат </w:t>
      </w:r>
      <w:r w:rsidRPr="00EE06A2">
        <w:rPr>
          <w:rFonts w:eastAsia="Times New Roman" w:cs="Times New Roman"/>
          <w:b/>
          <w:bCs/>
          <w:lang w:val="mk-MK" w:eastAsia="mk-MK"/>
        </w:rPr>
        <w:t>постепена активизација во одбраната на правото на информирање</w:t>
      </w:r>
      <w:r w:rsidRPr="00EE06A2">
        <w:rPr>
          <w:rFonts w:eastAsia="Times New Roman" w:cs="Times New Roman"/>
          <w:lang w:val="mk-MK" w:eastAsia="mk-MK"/>
        </w:rPr>
        <w:t xml:space="preserve">, нивниот севкупен ефект врз подобрувањето на пристапот до информации останува </w:t>
      </w:r>
      <w:r w:rsidRPr="00EE06A2">
        <w:rPr>
          <w:rFonts w:eastAsia="Times New Roman" w:cs="Times New Roman"/>
          <w:b/>
          <w:bCs/>
          <w:lang w:val="mk-MK" w:eastAsia="mk-MK"/>
        </w:rPr>
        <w:t>ограничен</w:t>
      </w:r>
      <w:r w:rsidRPr="00EE06A2">
        <w:rPr>
          <w:rFonts w:eastAsia="Times New Roman" w:cs="Times New Roman"/>
          <w:lang w:val="mk-MK" w:eastAsia="mk-MK"/>
        </w:rPr>
        <w:t>. Ова се должи на комплекс од системски предизвици кои ја поткопуваат нивната ефикасност и кредибилитет.</w:t>
      </w:r>
      <w:r w:rsidR="00E524DE">
        <w:rPr>
          <w:rStyle w:val="FootnoteReference"/>
          <w:rFonts w:eastAsia="Times New Roman" w:cs="Times New Roman"/>
          <w:lang w:val="mk-MK" w:eastAsia="mk-MK"/>
        </w:rPr>
        <w:footnoteReference w:id="7"/>
      </w:r>
    </w:p>
    <w:p w14:paraId="60FE357F" w14:textId="77777777" w:rsidR="00B33532" w:rsidRPr="00EE06A2" w:rsidRDefault="00B33532" w:rsidP="00B33532">
      <w:pPr>
        <w:spacing w:before="100" w:beforeAutospacing="1" w:after="100" w:afterAutospacing="1" w:line="240" w:lineRule="auto"/>
        <w:jc w:val="both"/>
        <w:outlineLvl w:val="2"/>
        <w:rPr>
          <w:rFonts w:eastAsia="Times New Roman" w:cs="Times New Roman"/>
          <w:b/>
          <w:bCs/>
          <w:lang w:val="mk-MK" w:eastAsia="mk-MK"/>
        </w:rPr>
      </w:pPr>
      <w:r w:rsidRPr="00EE06A2">
        <w:rPr>
          <w:rFonts w:eastAsia="Times New Roman" w:cs="Times New Roman"/>
          <w:b/>
          <w:bCs/>
          <w:lang w:val="mk-MK" w:eastAsia="mk-MK"/>
        </w:rPr>
        <w:t>Клучни предизвици кои ја ограничуваат ефекасноста на судовите:</w:t>
      </w:r>
    </w:p>
    <w:p w14:paraId="1357394F" w14:textId="77777777" w:rsidR="00B33532" w:rsidRPr="00EE06A2" w:rsidRDefault="00B33532" w:rsidP="00B33532">
      <w:pPr>
        <w:numPr>
          <w:ilvl w:val="0"/>
          <w:numId w:val="3"/>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Неефикасност и одолговлекување на постапките:</w:t>
      </w:r>
      <w:r w:rsidRPr="00EE06A2">
        <w:rPr>
          <w:rFonts w:eastAsia="Times New Roman" w:cs="Times New Roman"/>
          <w:lang w:val="mk-MK" w:eastAsia="mk-MK"/>
        </w:rPr>
        <w:t xml:space="preserve"> Еден од најзначајните проблеми е </w:t>
      </w:r>
      <w:r w:rsidRPr="00EE06A2">
        <w:rPr>
          <w:rFonts w:eastAsia="Times New Roman" w:cs="Times New Roman"/>
          <w:b/>
          <w:bCs/>
          <w:lang w:val="mk-MK" w:eastAsia="mk-MK"/>
        </w:rPr>
        <w:t>просечното времетраење на управните постапки, кое се движи од 10 до 16 месеци</w:t>
      </w:r>
      <w:r w:rsidRPr="00EE06A2">
        <w:rPr>
          <w:rFonts w:eastAsia="Times New Roman" w:cs="Times New Roman"/>
          <w:lang w:val="mk-MK" w:eastAsia="mk-MK"/>
        </w:rPr>
        <w:t>. Оваа бавност не само што го обесхрабрува граѓаните и новинарите да бараат правна заштита, туку и ја обезвреднува самата суштина на правото на информирање, бидејќи релевантноста на бараната информација честопати истекува пред да се донесе судска одлука. Во регион каде брзината на информациите е клучна, ваквите одложувања се рамни на негирање на правото.</w:t>
      </w:r>
    </w:p>
    <w:p w14:paraId="143E3BF5" w14:textId="77777777" w:rsidR="00B33532" w:rsidRPr="00EE06A2" w:rsidRDefault="00B33532" w:rsidP="00B33532">
      <w:pPr>
        <w:numPr>
          <w:ilvl w:val="0"/>
          <w:numId w:val="3"/>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Недоволно унифицирана судска пракса:</w:t>
      </w:r>
      <w:r w:rsidRPr="00EE06A2">
        <w:rPr>
          <w:rFonts w:eastAsia="Times New Roman" w:cs="Times New Roman"/>
          <w:lang w:val="mk-MK" w:eastAsia="mk-MK"/>
        </w:rPr>
        <w:t xml:space="preserve"> Отсуството на </w:t>
      </w:r>
      <w:r w:rsidRPr="00EE06A2">
        <w:rPr>
          <w:rFonts w:eastAsia="Times New Roman" w:cs="Times New Roman"/>
          <w:b/>
          <w:bCs/>
          <w:lang w:val="mk-MK" w:eastAsia="mk-MK"/>
        </w:rPr>
        <w:t>воедначена судска пракса</w:t>
      </w:r>
      <w:r w:rsidRPr="00EE06A2">
        <w:rPr>
          <w:rFonts w:eastAsia="Times New Roman" w:cs="Times New Roman"/>
          <w:lang w:val="mk-MK" w:eastAsia="mk-MK"/>
        </w:rPr>
        <w:t xml:space="preserve"> претставува сериозен проблем. Честопати, идентични или многу слични случаи резултираат со </w:t>
      </w:r>
      <w:r w:rsidRPr="00EE06A2">
        <w:rPr>
          <w:rFonts w:eastAsia="Times New Roman" w:cs="Times New Roman"/>
          <w:b/>
          <w:bCs/>
          <w:lang w:val="mk-MK" w:eastAsia="mk-MK"/>
        </w:rPr>
        <w:t>спротивставени пресуди</w:t>
      </w:r>
      <w:r w:rsidRPr="00EE06A2">
        <w:rPr>
          <w:rFonts w:eastAsia="Times New Roman" w:cs="Times New Roman"/>
          <w:lang w:val="mk-MK" w:eastAsia="mk-MK"/>
        </w:rPr>
        <w:t>. Ова создава правна несигурност, ја намалува предвидливоста на судските одлуки и остава простор за субјективни толкувања, што пак ја поткопува довербата во правосудниот систем. Граѓаните и организациите не можат да бидат сигурни како нивниот случај ќе биде третиран, што ги одвраќа од судски спорови.</w:t>
      </w:r>
    </w:p>
    <w:p w14:paraId="328ED895" w14:textId="77777777" w:rsidR="00B33532" w:rsidRPr="00EE06A2" w:rsidRDefault="00B33532" w:rsidP="00B33532">
      <w:pPr>
        <w:numPr>
          <w:ilvl w:val="0"/>
          <w:numId w:val="3"/>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Слаба извршност на судските одлуки:</w:t>
      </w:r>
      <w:r w:rsidRPr="00EE06A2">
        <w:rPr>
          <w:rFonts w:eastAsia="Times New Roman" w:cs="Times New Roman"/>
          <w:lang w:val="mk-MK" w:eastAsia="mk-MK"/>
        </w:rPr>
        <w:t xml:space="preserve"> Дури и кога судовите донесуваат позитивни одлуки во корист на добивање на информација од јавен карактер, </w:t>
      </w:r>
      <w:r w:rsidRPr="00EE06A2">
        <w:rPr>
          <w:rFonts w:eastAsia="Times New Roman" w:cs="Times New Roman"/>
          <w:b/>
          <w:bCs/>
          <w:lang w:val="mk-MK" w:eastAsia="mk-MK"/>
        </w:rPr>
        <w:t>нивната извршност е често слаба</w:t>
      </w:r>
      <w:r w:rsidRPr="00EE06A2">
        <w:rPr>
          <w:rFonts w:eastAsia="Times New Roman" w:cs="Times New Roman"/>
          <w:lang w:val="mk-MK" w:eastAsia="mk-MK"/>
        </w:rPr>
        <w:t xml:space="preserve">. Институциите и </w:t>
      </w:r>
      <w:r w:rsidRPr="00EE06A2">
        <w:rPr>
          <w:rFonts w:eastAsia="Times New Roman" w:cs="Times New Roman"/>
          <w:lang w:val="mk-MK" w:eastAsia="mk-MK"/>
        </w:rPr>
        <w:lastRenderedPageBreak/>
        <w:t xml:space="preserve">државните органи </w:t>
      </w:r>
      <w:r w:rsidRPr="00EE06A2">
        <w:rPr>
          <w:rFonts w:eastAsia="Times New Roman" w:cs="Times New Roman"/>
          <w:b/>
          <w:bCs/>
          <w:lang w:val="mk-MK" w:eastAsia="mk-MK"/>
        </w:rPr>
        <w:t>честопати не ги почитуваат судските одлуки</w:t>
      </w:r>
      <w:r w:rsidRPr="00EE06A2">
        <w:rPr>
          <w:rFonts w:eastAsia="Times New Roman" w:cs="Times New Roman"/>
          <w:lang w:val="mk-MK" w:eastAsia="mk-MK"/>
        </w:rPr>
        <w:t>, игнорирајќи ги или пролонгирајќи го нивното спроведување. Оваа неказнивост за непочитување на судски одлуки го прави правниот систем ирелевантен и ги обесхрабрува оние кои се обидуваат да го искористат. Без механизми за ефективна принуда, судските пресуди остануваат само на хартија.</w:t>
      </w:r>
    </w:p>
    <w:p w14:paraId="7D0526C2" w14:textId="71BBA38D" w:rsidR="00B33532" w:rsidRPr="00275CF1" w:rsidRDefault="00B33532" w:rsidP="00B33532">
      <w:pPr>
        <w:numPr>
          <w:ilvl w:val="0"/>
          <w:numId w:val="3"/>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Ограничен број на стратешки тужби:</w:t>
      </w:r>
      <w:r w:rsidRPr="00EE06A2">
        <w:rPr>
          <w:rFonts w:eastAsia="Times New Roman" w:cs="Times New Roman"/>
          <w:lang w:val="mk-MK" w:eastAsia="mk-MK"/>
        </w:rPr>
        <w:t xml:space="preserve"> Поради </w:t>
      </w:r>
      <w:r w:rsidRPr="00EE06A2">
        <w:rPr>
          <w:rFonts w:eastAsia="Times New Roman" w:cs="Times New Roman"/>
          <w:b/>
          <w:bCs/>
          <w:lang w:val="mk-MK" w:eastAsia="mk-MK"/>
        </w:rPr>
        <w:t>недостиг на соодветна поддршка и ресурси</w:t>
      </w:r>
      <w:r w:rsidRPr="00EE06A2">
        <w:rPr>
          <w:rFonts w:eastAsia="Times New Roman" w:cs="Times New Roman"/>
          <w:lang w:val="mk-MK" w:eastAsia="mk-MK"/>
        </w:rPr>
        <w:t xml:space="preserve">, бројот на </w:t>
      </w:r>
      <w:r w:rsidRPr="00EE06A2">
        <w:rPr>
          <w:rFonts w:eastAsia="Times New Roman" w:cs="Times New Roman"/>
          <w:b/>
          <w:bCs/>
          <w:lang w:val="mk-MK" w:eastAsia="mk-MK"/>
        </w:rPr>
        <w:t>стратешки тужби</w:t>
      </w:r>
      <w:r w:rsidRPr="00EE06A2">
        <w:rPr>
          <w:rFonts w:eastAsia="Times New Roman" w:cs="Times New Roman"/>
          <w:lang w:val="mk-MK" w:eastAsia="mk-MK"/>
        </w:rPr>
        <w:t xml:space="preserve"> (SLAPP тужби) е ограничен, но </w:t>
      </w:r>
      <w:r w:rsidR="009257F3">
        <w:rPr>
          <w:rFonts w:eastAsia="Times New Roman" w:cs="Times New Roman"/>
          <w:lang w:val="mk-MK" w:eastAsia="mk-MK"/>
        </w:rPr>
        <w:t xml:space="preserve">во </w:t>
      </w:r>
      <w:r w:rsidRPr="00EE06A2">
        <w:rPr>
          <w:rFonts w:eastAsia="Times New Roman" w:cs="Times New Roman"/>
          <w:lang w:val="mk-MK" w:eastAsia="mk-MK"/>
        </w:rPr>
        <w:t>некои земји од регионот нивниот број се зголемува. Овие тужби, кои честопати се покренуваат од поединци или институции со цел да се заплашат и финансиски исцрпат новинарите и активистите, претставуваат сериозна закана за слободата на изразување и правото на информирање.</w:t>
      </w:r>
      <w:r w:rsidRPr="00EE06A2">
        <w:rPr>
          <w:rStyle w:val="FootnoteReference"/>
          <w:rFonts w:eastAsia="Times New Roman" w:cs="Times New Roman"/>
          <w:lang w:val="mk-MK" w:eastAsia="mk-MK"/>
        </w:rPr>
        <w:footnoteReference w:id="8"/>
      </w:r>
      <w:r w:rsidRPr="00EE06A2">
        <w:rPr>
          <w:rFonts w:eastAsia="Times New Roman" w:cs="Times New Roman"/>
          <w:lang w:val="mk-MK" w:eastAsia="mk-MK"/>
        </w:rPr>
        <w:t xml:space="preserve"> Отсуството на силен систем за правна и финансиска поддршка ги остава поединците ранливи на вакви напади, што дополнително ја спречува нивната способност да бараат одговорност.</w:t>
      </w:r>
    </w:p>
    <w:p w14:paraId="49ACD092" w14:textId="77777777" w:rsidR="00B33532" w:rsidRPr="00EE06A2" w:rsidRDefault="00B33532" w:rsidP="00B33532">
      <w:pPr>
        <w:spacing w:before="100" w:beforeAutospacing="1" w:after="100" w:afterAutospacing="1" w:line="240" w:lineRule="auto"/>
        <w:jc w:val="both"/>
        <w:outlineLvl w:val="2"/>
        <w:rPr>
          <w:rFonts w:eastAsia="Times New Roman" w:cs="Times New Roman"/>
          <w:b/>
          <w:bCs/>
          <w:lang w:val="mk-MK" w:eastAsia="mk-MK"/>
        </w:rPr>
      </w:pPr>
      <w:r w:rsidRPr="00EE06A2">
        <w:rPr>
          <w:rFonts w:eastAsia="Times New Roman" w:cs="Times New Roman"/>
          <w:b/>
          <w:bCs/>
          <w:lang w:val="mk-MK" w:eastAsia="mk-MK"/>
        </w:rPr>
        <w:t>Поширока регионална перспектива:</w:t>
      </w:r>
    </w:p>
    <w:p w14:paraId="05CA40B1" w14:textId="467E3F06"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 xml:space="preserve">Овие проблеми не се изолирани инциденти, туку се дел од </w:t>
      </w:r>
      <w:r w:rsidRPr="00EE06A2">
        <w:rPr>
          <w:rFonts w:eastAsia="Times New Roman" w:cs="Times New Roman"/>
          <w:b/>
          <w:bCs/>
          <w:lang w:val="mk-MK" w:eastAsia="mk-MK"/>
        </w:rPr>
        <w:t>поширок регионален контекст</w:t>
      </w:r>
      <w:r w:rsidRPr="00EE06A2">
        <w:rPr>
          <w:rFonts w:eastAsia="Times New Roman" w:cs="Times New Roman"/>
          <w:lang w:val="mk-MK" w:eastAsia="mk-MK"/>
        </w:rPr>
        <w:t xml:space="preserve"> кој се карактеризира со </w:t>
      </w:r>
      <w:r w:rsidRPr="00EE06A2">
        <w:rPr>
          <w:rFonts w:eastAsia="Times New Roman" w:cs="Times New Roman"/>
          <w:b/>
          <w:bCs/>
          <w:lang w:val="mk-MK" w:eastAsia="mk-MK"/>
        </w:rPr>
        <w:t>кревки правни системи, политички влијанија и недоволна транспарентност</w:t>
      </w:r>
      <w:r w:rsidRPr="00EE06A2">
        <w:rPr>
          <w:rFonts w:eastAsia="Times New Roman" w:cs="Times New Roman"/>
          <w:lang w:val="mk-MK" w:eastAsia="mk-MK"/>
        </w:rPr>
        <w:t>. С</w:t>
      </w:r>
      <w:r w:rsidR="009257F3">
        <w:rPr>
          <w:rFonts w:eastAsia="Times New Roman" w:cs="Times New Roman"/>
          <w:lang w:val="mk-MK" w:eastAsia="mk-MK"/>
        </w:rPr>
        <w:t>е</w:t>
      </w:r>
      <w:r w:rsidRPr="00EE06A2">
        <w:rPr>
          <w:rFonts w:eastAsia="Times New Roman" w:cs="Times New Roman"/>
          <w:lang w:val="mk-MK" w:eastAsia="mk-MK"/>
        </w:rPr>
        <w:t>то ова, ја поткопува довербата во правосудството</w:t>
      </w:r>
      <w:r w:rsidRPr="00EE06A2">
        <w:rPr>
          <w:rStyle w:val="FootnoteReference"/>
          <w:rFonts w:eastAsia="Times New Roman" w:cs="Times New Roman"/>
          <w:lang w:val="mk-MK" w:eastAsia="mk-MK"/>
        </w:rPr>
        <w:footnoteReference w:id="9"/>
      </w:r>
      <w:r w:rsidRPr="00EE06A2">
        <w:rPr>
          <w:rFonts w:eastAsia="Times New Roman" w:cs="Times New Roman"/>
          <w:lang w:val="mk-MK" w:eastAsia="mk-MK"/>
        </w:rPr>
        <w:t xml:space="preserve"> и го отежнува неговото функционирање како вистински заштитник на човековите права.</w:t>
      </w:r>
    </w:p>
    <w:p w14:paraId="3B207D00" w14:textId="7296C327"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 xml:space="preserve">Дополнително, </w:t>
      </w:r>
      <w:r w:rsidR="009257F3">
        <w:rPr>
          <w:rFonts w:eastAsia="Times New Roman" w:cs="Times New Roman"/>
          <w:lang w:val="mk-MK" w:eastAsia="mk-MK"/>
        </w:rPr>
        <w:t xml:space="preserve">т.н. </w:t>
      </w:r>
      <w:r w:rsidRPr="00EE06A2">
        <w:rPr>
          <w:rFonts w:eastAsia="Times New Roman" w:cs="Times New Roman"/>
          <w:b/>
          <w:bCs/>
          <w:lang w:val="mk-MK" w:eastAsia="mk-MK"/>
        </w:rPr>
        <w:t>културата на тајност</w:t>
      </w:r>
      <w:r w:rsidRPr="00EE06A2">
        <w:rPr>
          <w:rFonts w:eastAsia="Times New Roman" w:cs="Times New Roman"/>
          <w:lang w:val="mk-MK" w:eastAsia="mk-MK"/>
        </w:rPr>
        <w:t xml:space="preserve"> која преовладува во многу државни институции</w:t>
      </w:r>
      <w:r w:rsidRPr="00EE06A2">
        <w:rPr>
          <w:rStyle w:val="FootnoteReference"/>
          <w:rFonts w:eastAsia="Times New Roman" w:cs="Times New Roman"/>
          <w:lang w:val="mk-MK" w:eastAsia="mk-MK"/>
        </w:rPr>
        <w:footnoteReference w:id="10"/>
      </w:r>
      <w:r w:rsidRPr="00EE06A2">
        <w:rPr>
          <w:rFonts w:eastAsia="Times New Roman" w:cs="Times New Roman"/>
          <w:lang w:val="mk-MK" w:eastAsia="mk-MK"/>
        </w:rPr>
        <w:t xml:space="preserve"> во регионот, дополнително ја комплицира состојбата. Информациите честопати се третираат како „привилегија“, а не како право, што води до отпор кон нивно обелоденување</w:t>
      </w:r>
      <w:r w:rsidRPr="00EE06A2">
        <w:rPr>
          <w:rStyle w:val="FootnoteReference"/>
          <w:rFonts w:eastAsia="Times New Roman" w:cs="Times New Roman"/>
          <w:lang w:val="mk-MK" w:eastAsia="mk-MK"/>
        </w:rPr>
        <w:footnoteReference w:id="11"/>
      </w:r>
      <w:r w:rsidRPr="00EE06A2">
        <w:rPr>
          <w:rFonts w:eastAsia="Times New Roman" w:cs="Times New Roman"/>
          <w:lang w:val="mk-MK" w:eastAsia="mk-MK"/>
        </w:rPr>
        <w:t xml:space="preserve">. Оваа </w:t>
      </w:r>
      <w:r w:rsidR="009257F3">
        <w:rPr>
          <w:rFonts w:eastAsia="Times New Roman" w:cs="Times New Roman"/>
          <w:lang w:val="mk-MK" w:eastAsia="mk-MK"/>
        </w:rPr>
        <w:t>„</w:t>
      </w:r>
      <w:r w:rsidRPr="00EE06A2">
        <w:rPr>
          <w:rFonts w:eastAsia="Times New Roman" w:cs="Times New Roman"/>
          <w:lang w:val="mk-MK" w:eastAsia="mk-MK"/>
        </w:rPr>
        <w:t>култура</w:t>
      </w:r>
      <w:r w:rsidR="009257F3">
        <w:rPr>
          <w:rFonts w:eastAsia="Times New Roman" w:cs="Times New Roman"/>
          <w:lang w:val="mk-MK" w:eastAsia="mk-MK"/>
        </w:rPr>
        <w:t>“</w:t>
      </w:r>
      <w:r w:rsidRPr="00EE06A2">
        <w:rPr>
          <w:rFonts w:eastAsia="Times New Roman" w:cs="Times New Roman"/>
          <w:lang w:val="mk-MK" w:eastAsia="mk-MK"/>
        </w:rPr>
        <w:t xml:space="preserve">, во комбинација со недоволната примена на законите за слободен пристап до </w:t>
      </w:r>
      <w:r w:rsidRPr="00EE06A2">
        <w:rPr>
          <w:rFonts w:eastAsia="Times New Roman" w:cs="Times New Roman"/>
          <w:lang w:val="mk-MK" w:eastAsia="mk-MK"/>
        </w:rPr>
        <w:lastRenderedPageBreak/>
        <w:t>информации, создава средина каде што судовите се соочуваат со огромни пречки во спроведувањето на правото.</w:t>
      </w:r>
    </w:p>
    <w:p w14:paraId="68683367" w14:textId="77777777"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 xml:space="preserve">Во крајна линија, </w:t>
      </w:r>
      <w:r w:rsidRPr="00EE06A2">
        <w:rPr>
          <w:rFonts w:eastAsia="Times New Roman" w:cs="Times New Roman"/>
          <w:b/>
          <w:bCs/>
          <w:lang w:val="mk-MK" w:eastAsia="mk-MK"/>
        </w:rPr>
        <w:t>структурните и системските недостатоци</w:t>
      </w:r>
      <w:r w:rsidRPr="00EE06A2">
        <w:rPr>
          <w:rFonts w:eastAsia="Times New Roman" w:cs="Times New Roman"/>
          <w:lang w:val="mk-MK" w:eastAsia="mk-MK"/>
        </w:rPr>
        <w:t xml:space="preserve"> во судските системи во регионот значително ја ограничуваат нивната способност да бидат ефективни чувари на правото на информирање. За вистински напредок, неопходни се сеопфатни реформи кои ќе ги зајакнат независноста, ефикасноста и интегритетот на судството, како и цврста политичка волја за спроведување на владеењето на правото и промоција на транспарентноста.</w:t>
      </w:r>
    </w:p>
    <w:p w14:paraId="0088DE6C" w14:textId="77777777" w:rsidR="00B33532" w:rsidRPr="00EE06A2" w:rsidRDefault="00B33532" w:rsidP="00B33532">
      <w:pPr>
        <w:spacing w:before="100" w:beforeAutospacing="1" w:after="100" w:afterAutospacing="1" w:line="240" w:lineRule="auto"/>
        <w:jc w:val="both"/>
        <w:rPr>
          <w:rFonts w:eastAsia="Times New Roman" w:cs="Times New Roman"/>
          <w:sz w:val="27"/>
          <w:szCs w:val="27"/>
          <w:lang w:val="mk-MK" w:eastAsia="mk-MK"/>
        </w:rPr>
      </w:pPr>
      <w:r w:rsidRPr="00EE06A2">
        <w:rPr>
          <w:rFonts w:eastAsia="Times New Roman" w:cs="Times New Roman"/>
          <w:b/>
          <w:bCs/>
          <w:sz w:val="27"/>
          <w:szCs w:val="27"/>
          <w:lang w:val="mk-MK" w:eastAsia="mk-MK"/>
        </w:rPr>
        <w:t>Слободниот пристап до информации од јавен карактер како огледало на владеењето на правото</w:t>
      </w:r>
    </w:p>
    <w:p w14:paraId="1DC98D35" w14:textId="118F141C" w:rsidR="00B33532" w:rsidRPr="00EE06A2" w:rsidRDefault="00B33532" w:rsidP="00B33532">
      <w:pPr>
        <w:pStyle w:val="NormalWeb"/>
        <w:jc w:val="both"/>
        <w:rPr>
          <w:rFonts w:ascii="StobiSerif Regular" w:hAnsi="StobiSerif Regular"/>
        </w:rPr>
      </w:pPr>
      <w:r w:rsidRPr="00EE06A2">
        <w:rPr>
          <w:rFonts w:ascii="StobiSerif Regular" w:hAnsi="StobiSerif Regular"/>
        </w:rPr>
        <w:t>Анализата укажува дека молкот на администрацијата не е изолиран или технички проблем, туку длабоко вкоренет симптом на пошироки институционални слабости, вклучувајќи политичка контрола, недостиг на транспарентна култура и системска неказнивост. Тој функционира како тивка, но ефективна бариера која го попречува јавниот надзор и ја еродира довербата во институциите</w:t>
      </w:r>
      <w:r w:rsidR="00E524DE">
        <w:rPr>
          <w:rStyle w:val="FootnoteReference"/>
          <w:rFonts w:ascii="StobiSerif Regular" w:hAnsi="StobiSerif Regular"/>
        </w:rPr>
        <w:footnoteReference w:id="12"/>
      </w:r>
      <w:r w:rsidRPr="00EE06A2">
        <w:rPr>
          <w:rFonts w:ascii="StobiSerif Regular" w:hAnsi="StobiSerif Regular"/>
        </w:rPr>
        <w:t>. Најголемите последици се забележуваат во клучни сектори како јавните финансии, урбанизамот, енергетиката и јавните набавки, каде одложените или недоставените информации ја компромитираат јавната контрола врз високоризичните одлуки и трансакции.</w:t>
      </w:r>
    </w:p>
    <w:p w14:paraId="583AF808" w14:textId="77777777" w:rsidR="00B33532" w:rsidRPr="00EE06A2" w:rsidRDefault="00B33532" w:rsidP="00B33532">
      <w:pPr>
        <w:pStyle w:val="NormalWeb"/>
        <w:jc w:val="both"/>
        <w:rPr>
          <w:rFonts w:ascii="StobiSerif Regular" w:hAnsi="StobiSerif Regular"/>
        </w:rPr>
      </w:pPr>
      <w:r w:rsidRPr="00EE06A2">
        <w:rPr>
          <w:rFonts w:ascii="StobiSerif Regular" w:hAnsi="StobiSerif Regular"/>
        </w:rPr>
        <w:t>Феноменот на селективен одговор – каде институциите избираат да одговорат само на „безопасни“ или технички барања, додека чувствителните се игнорираат – создава илузија на отвореност, која во суштина ја поткопува транспарентноста. Ова селективно постапување ја искривува сликата за институционалната отчетност и намерно го одвраќа вниманието од вистинските проблеми. Истовремено, судската непристапност, долготрајноста на управните спорови и правната несигурност ја демотивираат јавноста, новинарите и граѓанските организации од користење на правните механизми. На долг рок, ова води до самонаметната автоцензура, правна резигнација и зголемен јаз меѓу граѓаните и институциите.</w:t>
      </w:r>
    </w:p>
    <w:p w14:paraId="2F4FD70D" w14:textId="43DA0989" w:rsidR="00195B8F" w:rsidRPr="00EE06A2" w:rsidRDefault="00B33532" w:rsidP="00B33532">
      <w:pPr>
        <w:pStyle w:val="NormalWeb"/>
        <w:jc w:val="both"/>
        <w:rPr>
          <w:rFonts w:ascii="StobiSerif Regular" w:hAnsi="StobiSerif Regular"/>
        </w:rPr>
      </w:pPr>
      <w:r w:rsidRPr="00EE06A2">
        <w:rPr>
          <w:rFonts w:ascii="StobiSerif Regular" w:hAnsi="StobiSerif Regular"/>
        </w:rPr>
        <w:t xml:space="preserve">Доколку не се адресира оваа институционализирана форма на молк, се ризикува воспоставување на систем на „административен неформализам“ </w:t>
      </w:r>
      <w:r w:rsidRPr="00EE06A2">
        <w:rPr>
          <w:rFonts w:ascii="StobiSerif Regular" w:hAnsi="StobiSerif Regular"/>
        </w:rPr>
        <w:lastRenderedPageBreak/>
        <w:t>каде што отсуството на одговор станува прифатлива практика, наместо санкционирана аномалија.</w:t>
      </w:r>
    </w:p>
    <w:p w14:paraId="5B891F81" w14:textId="77777777" w:rsidR="00B33532" w:rsidRPr="00EE06A2" w:rsidRDefault="00B33532" w:rsidP="00B33532">
      <w:pPr>
        <w:spacing w:before="100" w:beforeAutospacing="1" w:after="100" w:afterAutospacing="1" w:line="240" w:lineRule="auto"/>
        <w:jc w:val="both"/>
        <w:outlineLvl w:val="1"/>
        <w:rPr>
          <w:rFonts w:eastAsia="Times New Roman" w:cs="Times New Roman"/>
          <w:b/>
          <w:bCs/>
          <w:sz w:val="27"/>
          <w:szCs w:val="27"/>
          <w:lang w:val="mk-MK" w:eastAsia="mk-MK"/>
        </w:rPr>
      </w:pPr>
      <w:r w:rsidRPr="00EE06A2">
        <w:rPr>
          <w:rFonts w:eastAsia="Times New Roman" w:cs="Times New Roman"/>
          <w:b/>
          <w:bCs/>
          <w:sz w:val="27"/>
          <w:szCs w:val="27"/>
          <w:lang w:val="mk-MK" w:eastAsia="mk-MK"/>
        </w:rPr>
        <w:t>Препораки за институционална трансформација: Од декларативна до суштинска транспарентност</w:t>
      </w:r>
    </w:p>
    <w:p w14:paraId="368A8D94" w14:textId="7BD8F531"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 xml:space="preserve">За да се надмине состојбата на </w:t>
      </w:r>
      <w:r w:rsidRPr="00EE06A2">
        <w:rPr>
          <w:rFonts w:eastAsia="Times New Roman" w:cs="Times New Roman"/>
          <w:b/>
          <w:bCs/>
          <w:lang w:val="mk-MK" w:eastAsia="mk-MK"/>
        </w:rPr>
        <w:t>молк на администрацијата</w:t>
      </w:r>
      <w:r w:rsidRPr="00EE06A2">
        <w:rPr>
          <w:rFonts w:eastAsia="Times New Roman" w:cs="Times New Roman"/>
          <w:lang w:val="mk-MK" w:eastAsia="mk-MK"/>
        </w:rPr>
        <w:t>, хроничен проблем во земјите од Западен Балкан, неопходен е сеопфатен и системски пристап кој ќе ги трансформира институционалните практики. Законите сами по себе не се доволни доколку не се придружени со механизми за имплементација, силна политичка волја и промена на културата н</w:t>
      </w:r>
      <w:r w:rsidR="009257F3">
        <w:rPr>
          <w:rFonts w:eastAsia="Times New Roman" w:cs="Times New Roman"/>
          <w:lang w:val="mk-MK" w:eastAsia="mk-MK"/>
        </w:rPr>
        <w:t>а</w:t>
      </w:r>
      <w:r w:rsidRPr="00EE06A2">
        <w:rPr>
          <w:rFonts w:eastAsia="Times New Roman" w:cs="Times New Roman"/>
          <w:lang w:val="mk-MK" w:eastAsia="mk-MK"/>
        </w:rPr>
        <w:t xml:space="preserve"> отчетност.</w:t>
      </w:r>
    </w:p>
    <w:p w14:paraId="7C6627F3" w14:textId="77777777" w:rsidR="00B33532" w:rsidRPr="00EE06A2" w:rsidRDefault="00B33532" w:rsidP="00B33532">
      <w:pPr>
        <w:spacing w:before="100" w:beforeAutospacing="1" w:after="100" w:afterAutospacing="1" w:line="240" w:lineRule="auto"/>
        <w:jc w:val="both"/>
        <w:outlineLvl w:val="2"/>
        <w:rPr>
          <w:rFonts w:eastAsia="Times New Roman" w:cs="Times New Roman"/>
          <w:b/>
          <w:bCs/>
          <w:lang w:val="mk-MK" w:eastAsia="mk-MK"/>
        </w:rPr>
      </w:pPr>
      <w:r w:rsidRPr="00EE06A2">
        <w:rPr>
          <w:rFonts w:eastAsia="Times New Roman" w:cs="Times New Roman"/>
          <w:b/>
          <w:bCs/>
          <w:lang w:val="mk-MK" w:eastAsia="mk-MK"/>
        </w:rPr>
        <w:t>Обврска за писмен одговор: Воведување законска санкција за молчење на администрацијата</w:t>
      </w:r>
    </w:p>
    <w:p w14:paraId="76179687" w14:textId="77777777"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 xml:space="preserve">Оваа препорака е клучна за елиминирање на праксата на молк на администрацијата, која е најголема пречка за пристап до информации. Потребно е да се воведат </w:t>
      </w:r>
      <w:r w:rsidRPr="00EE06A2">
        <w:rPr>
          <w:rFonts w:eastAsia="Times New Roman" w:cs="Times New Roman"/>
          <w:b/>
          <w:bCs/>
          <w:lang w:val="mk-MK" w:eastAsia="mk-MK"/>
        </w:rPr>
        <w:t>строги законски санкции за секој случај на молк</w:t>
      </w:r>
      <w:r w:rsidRPr="00EE06A2">
        <w:rPr>
          <w:rFonts w:eastAsia="Times New Roman" w:cs="Times New Roman"/>
          <w:lang w:val="mk-MK" w:eastAsia="mk-MK"/>
        </w:rPr>
        <w:t xml:space="preserve">, односно кога институцијата не одговара на барањето за информации во законскиот рок. Овие санкции треба да бидат доволно високи за да дејствуваат превентивно и да ја демотивираат праксата на игнорирање на барањата. Дополнително, дури и кога барањето за информација е одбиено, институцијата мора да биде </w:t>
      </w:r>
      <w:r w:rsidRPr="00EE06A2">
        <w:rPr>
          <w:rFonts w:eastAsia="Times New Roman" w:cs="Times New Roman"/>
          <w:b/>
          <w:bCs/>
          <w:lang w:val="mk-MK" w:eastAsia="mk-MK"/>
        </w:rPr>
        <w:t>законски обврзана да обезбеди писмено и детално образложение за одбивањето</w:t>
      </w:r>
      <w:r w:rsidRPr="00EE06A2">
        <w:rPr>
          <w:rFonts w:eastAsia="Times New Roman" w:cs="Times New Roman"/>
          <w:lang w:val="mk-MK" w:eastAsia="mk-MK"/>
        </w:rPr>
        <w:t>, повикувајќи се на конкретни членови од законот, но и јасно објаснувајќи ги причините за одбивањето на барањето. Ова не само што ја зголемува транспарентноста, туку и обезбедува основа за евентуална жалба пред повисок орган или суд. Примерите од праксата во ЕУ, како што е во Словенија, покажуваат дека јасно дефинираните обврски и казни за молк значително го подобруваат одговорот на администрацијата.</w:t>
      </w:r>
    </w:p>
    <w:p w14:paraId="01F69FA0" w14:textId="77777777" w:rsidR="00B33532" w:rsidRPr="00EE06A2" w:rsidRDefault="00B33532" w:rsidP="00B33532">
      <w:pPr>
        <w:spacing w:before="100" w:beforeAutospacing="1" w:after="100" w:afterAutospacing="1" w:line="240" w:lineRule="auto"/>
        <w:jc w:val="both"/>
        <w:outlineLvl w:val="2"/>
        <w:rPr>
          <w:rFonts w:eastAsia="Times New Roman" w:cs="Times New Roman"/>
          <w:b/>
          <w:bCs/>
          <w:lang w:val="mk-MK" w:eastAsia="mk-MK"/>
        </w:rPr>
      </w:pPr>
      <w:r w:rsidRPr="00EE06A2">
        <w:rPr>
          <w:rFonts w:eastAsia="Times New Roman" w:cs="Times New Roman"/>
          <w:b/>
          <w:bCs/>
          <w:lang w:val="mk-MK" w:eastAsia="mk-MK"/>
        </w:rPr>
        <w:t>Дисциплинска одговорност: Дефинирање одговорност и санкции за службените и одговорните лица што не одговараат на поднесени барања за информации од јавен карактер</w:t>
      </w:r>
    </w:p>
    <w:p w14:paraId="6D5663DC" w14:textId="77777777"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 xml:space="preserve">Проблемот на молкот на администрацијата често е резултат на неодговорност на поединци во институциите. Затоа, есенцијално е да се </w:t>
      </w:r>
      <w:r w:rsidRPr="00EE06A2">
        <w:rPr>
          <w:rFonts w:eastAsia="Times New Roman" w:cs="Times New Roman"/>
          <w:b/>
          <w:bCs/>
          <w:lang w:val="mk-MK" w:eastAsia="mk-MK"/>
        </w:rPr>
        <w:t>дефинира одговорност за службениците</w:t>
      </w:r>
      <w:r w:rsidRPr="00EE06A2">
        <w:rPr>
          <w:rFonts w:eastAsia="Times New Roman" w:cs="Times New Roman"/>
          <w:lang w:val="mk-MK" w:eastAsia="mk-MK"/>
        </w:rPr>
        <w:t xml:space="preserve"> задолжени за постапување по барањата за информации, но и за </w:t>
      </w:r>
      <w:r w:rsidRPr="00EE06A2">
        <w:rPr>
          <w:rFonts w:eastAsia="Times New Roman" w:cs="Times New Roman"/>
          <w:b/>
          <w:bCs/>
          <w:lang w:val="mk-MK" w:eastAsia="mk-MK"/>
        </w:rPr>
        <w:t>одговорните лица</w:t>
      </w:r>
      <w:r w:rsidRPr="00EE06A2">
        <w:rPr>
          <w:rFonts w:eastAsia="Times New Roman" w:cs="Times New Roman"/>
          <w:lang w:val="mk-MK" w:eastAsia="mk-MK"/>
        </w:rPr>
        <w:t xml:space="preserve"> во институциите. Ова вклучува воведување на </w:t>
      </w:r>
      <w:r w:rsidRPr="00EE06A2">
        <w:rPr>
          <w:rFonts w:eastAsia="Times New Roman" w:cs="Times New Roman"/>
          <w:b/>
          <w:bCs/>
          <w:lang w:val="mk-MK" w:eastAsia="mk-MK"/>
        </w:rPr>
        <w:t>дисциплински мерки и санкции</w:t>
      </w:r>
      <w:r w:rsidRPr="00EE06A2">
        <w:rPr>
          <w:rFonts w:eastAsia="Times New Roman" w:cs="Times New Roman"/>
          <w:lang w:val="mk-MK" w:eastAsia="mk-MK"/>
        </w:rPr>
        <w:t xml:space="preserve"> кои ќе се </w:t>
      </w:r>
      <w:r w:rsidRPr="00EE06A2">
        <w:rPr>
          <w:rFonts w:eastAsia="Times New Roman" w:cs="Times New Roman"/>
          <w:lang w:val="mk-MK" w:eastAsia="mk-MK"/>
        </w:rPr>
        <w:lastRenderedPageBreak/>
        <w:t>применуваат доколку службениците не одговорат на барањето во предвидениот рок или не го сторат тоа на соодветен начин. Креирањето на систем на одговорност, каде што секој службеник знае дека неговите постапки имаат последици, ќе придонесе кон промена на културата од пасивност кон активна услужност и почитување на правото на информирање.</w:t>
      </w:r>
    </w:p>
    <w:p w14:paraId="2641EB9B" w14:textId="77777777" w:rsidR="00B33532" w:rsidRPr="00EE06A2" w:rsidRDefault="00B33532" w:rsidP="00B33532">
      <w:pPr>
        <w:spacing w:before="100" w:beforeAutospacing="1" w:after="100" w:afterAutospacing="1" w:line="240" w:lineRule="auto"/>
        <w:jc w:val="both"/>
        <w:outlineLvl w:val="2"/>
        <w:rPr>
          <w:rFonts w:eastAsia="Times New Roman" w:cs="Times New Roman"/>
          <w:b/>
          <w:bCs/>
          <w:lang w:val="mk-MK" w:eastAsia="mk-MK"/>
        </w:rPr>
      </w:pPr>
      <w:r w:rsidRPr="00EE06A2">
        <w:rPr>
          <w:rFonts w:eastAsia="Times New Roman" w:cs="Times New Roman"/>
          <w:b/>
          <w:bCs/>
          <w:lang w:val="mk-MK" w:eastAsia="mk-MK"/>
        </w:rPr>
        <w:t>Електронско следење на барањата: Развој на дигитални платформи за следење на статусот на барањата и автоматско известување на надзорните тела</w:t>
      </w:r>
    </w:p>
    <w:p w14:paraId="49F86D74" w14:textId="226363F5" w:rsidR="00B33532" w:rsidRPr="00DE64F8" w:rsidRDefault="00B33532" w:rsidP="00DE64F8">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 xml:space="preserve">Модернизацијата на процесот е клучен чекор кон побрз и поефикасен пристап до информациите од јавен карактер. Неопходен е </w:t>
      </w:r>
      <w:r w:rsidRPr="00EE06A2">
        <w:rPr>
          <w:rFonts w:eastAsia="Times New Roman" w:cs="Times New Roman"/>
          <w:b/>
          <w:bCs/>
          <w:lang w:val="mk-MK" w:eastAsia="mk-MK"/>
        </w:rPr>
        <w:t>развој и имплементација на дигитални платформи (е-портали)</w:t>
      </w:r>
      <w:r w:rsidRPr="00EE06A2">
        <w:rPr>
          <w:rFonts w:eastAsia="Times New Roman" w:cs="Times New Roman"/>
          <w:lang w:val="mk-MK" w:eastAsia="mk-MK"/>
        </w:rPr>
        <w:t xml:space="preserve"> кои ќе овозможат електронско поднесување на барањата за информации. Овие платформи треба да имаат функционалност за </w:t>
      </w:r>
      <w:r w:rsidRPr="00EE06A2">
        <w:rPr>
          <w:rFonts w:eastAsia="Times New Roman" w:cs="Times New Roman"/>
          <w:b/>
          <w:bCs/>
          <w:lang w:val="mk-MK" w:eastAsia="mk-MK"/>
        </w:rPr>
        <w:t>следење на статусот на секое барање во реално време</w:t>
      </w:r>
      <w:r w:rsidRPr="00EE06A2">
        <w:rPr>
          <w:rFonts w:eastAsia="Times New Roman" w:cs="Times New Roman"/>
          <w:lang w:val="mk-MK" w:eastAsia="mk-MK"/>
        </w:rPr>
        <w:t xml:space="preserve">, обезбедувајќи транспарентност за барателот. Дополнително, системот треба автоматски да ги известува </w:t>
      </w:r>
      <w:r w:rsidRPr="00EE06A2">
        <w:rPr>
          <w:rFonts w:eastAsia="Times New Roman" w:cs="Times New Roman"/>
          <w:b/>
          <w:bCs/>
          <w:lang w:val="mk-MK" w:eastAsia="mk-MK"/>
        </w:rPr>
        <w:t>надзорните тела</w:t>
      </w:r>
      <w:r w:rsidRPr="00EE06A2">
        <w:rPr>
          <w:rFonts w:eastAsia="Times New Roman" w:cs="Times New Roman"/>
          <w:lang w:val="mk-MK" w:eastAsia="mk-MK"/>
        </w:rPr>
        <w:t xml:space="preserve"> за секое прекршување на роковите или за случаи кога се јавува молк на администрацијата. Ова ќе ја подобри ефикасноста на надзорните органи и ќе овозможи брза реакција, намалувајќи ја потребата за поднесување на жалби против непостапувањето на институциите. Примери од балтичките и скандинавските држави, покажуваат дека ваквите системи драстично ја зголемуваат стапката на одговори и ја намалуваат институционалната бирократија. Ваков портал постои и е активен во Северна Македонија</w:t>
      </w:r>
      <w:r w:rsidRPr="00EE06A2">
        <w:rPr>
          <w:rStyle w:val="FootnoteReference"/>
          <w:rFonts w:eastAsia="Times New Roman" w:cs="Times New Roman"/>
          <w:lang w:val="mk-MK" w:eastAsia="mk-MK"/>
        </w:rPr>
        <w:footnoteReference w:id="13"/>
      </w:r>
      <w:r w:rsidRPr="00EE06A2">
        <w:rPr>
          <w:rFonts w:eastAsia="Times New Roman" w:cs="Times New Roman"/>
          <w:lang w:val="mk-MK" w:eastAsia="mk-MK"/>
        </w:rPr>
        <w:t>.</w:t>
      </w:r>
      <w:r w:rsidR="009257F3">
        <w:rPr>
          <w:rFonts w:eastAsia="Times New Roman" w:cs="Times New Roman"/>
          <w:lang w:val="mk-MK" w:eastAsia="mk-MK"/>
        </w:rPr>
        <w:t xml:space="preserve"> </w:t>
      </w:r>
    </w:p>
    <w:p w14:paraId="52C47289" w14:textId="28B3CFCB" w:rsidR="00DE64F8" w:rsidRPr="00802D03" w:rsidRDefault="00DE64F8" w:rsidP="00DE64F8">
      <w:pPr>
        <w:pStyle w:val="NormalWeb"/>
        <w:jc w:val="both"/>
        <w:rPr>
          <w:rFonts w:ascii="StobiSerif Regular" w:hAnsi="StobiSerif Regular"/>
        </w:rPr>
      </w:pPr>
      <w:r w:rsidRPr="00802D03">
        <w:rPr>
          <w:rFonts w:ascii="StobiSerif Regular" w:hAnsi="StobiSerif Regular"/>
        </w:rPr>
        <w:t xml:space="preserve">Преку порталот е-Баратели се поднесени </w:t>
      </w:r>
      <w:r w:rsidRPr="00802D03">
        <w:rPr>
          <w:rStyle w:val="Strong"/>
          <w:rFonts w:ascii="StobiSerif Regular" w:hAnsi="StobiSerif Regular"/>
        </w:rPr>
        <w:t xml:space="preserve">249 барања за слободен пристап до информации од јавен карактер, </w:t>
      </w:r>
      <w:r w:rsidRPr="00802D03">
        <w:rPr>
          <w:rStyle w:val="Strong"/>
          <w:rFonts w:ascii="StobiSerif Regular" w:hAnsi="StobiSerif Regular"/>
          <w:b w:val="0"/>
          <w:bCs w:val="0"/>
        </w:rPr>
        <w:t xml:space="preserve">што </w:t>
      </w:r>
      <w:r w:rsidRPr="00802D03">
        <w:rPr>
          <w:rFonts w:ascii="StobiSerif Regular" w:hAnsi="StobiSerif Regular"/>
        </w:rPr>
        <w:t>укажува дека истиот се користи најмногу од страна на граѓаните, а се со цел барателите на брз и ефикасен начин да го искористат законското право на пристап до информации. Овој број е индикативен за неколку трендови:</w:t>
      </w:r>
    </w:p>
    <w:p w14:paraId="6F89D051" w14:textId="1E237ECE" w:rsidR="00DE64F8" w:rsidRPr="00802D03" w:rsidRDefault="00DE64F8" w:rsidP="00DE64F8">
      <w:pPr>
        <w:pStyle w:val="NormalWeb"/>
        <w:jc w:val="both"/>
        <w:rPr>
          <w:rFonts w:ascii="StobiSerif Regular" w:hAnsi="StobiSerif Regular"/>
        </w:rPr>
      </w:pPr>
      <w:r w:rsidRPr="00802D03">
        <w:rPr>
          <w:rStyle w:val="Strong"/>
          <w:rFonts w:ascii="StobiSerif Regular" w:hAnsi="StobiSerif Regular"/>
        </w:rPr>
        <w:t>Континуирана потреба од информации:</w:t>
      </w:r>
      <w:r w:rsidRPr="00802D03">
        <w:rPr>
          <w:rFonts w:ascii="StobiSerif Regular" w:hAnsi="StobiSerif Regular"/>
        </w:rPr>
        <w:t xml:space="preserve"> Бројот на поднесени барања сведочи за постојаната потреба од транспарентност во работењето на институциите и за улогата на јавноста како контролен механизам во демократските процеси.</w:t>
      </w:r>
    </w:p>
    <w:p w14:paraId="1509A013" w14:textId="5B0E4B13" w:rsidR="00DE64F8" w:rsidRPr="00802D03" w:rsidRDefault="00DE64F8" w:rsidP="00DE64F8">
      <w:pPr>
        <w:pStyle w:val="NormalWeb"/>
        <w:jc w:val="both"/>
        <w:rPr>
          <w:rFonts w:ascii="StobiSerif Regular" w:hAnsi="StobiSerif Regular"/>
        </w:rPr>
      </w:pPr>
      <w:r w:rsidRPr="00802D03">
        <w:rPr>
          <w:rStyle w:val="Strong"/>
          <w:rFonts w:ascii="StobiSerif Regular" w:hAnsi="StobiSerif Regular"/>
        </w:rPr>
        <w:t>Употребата на дигиталните алатки:</w:t>
      </w:r>
      <w:r w:rsidRPr="00802D03">
        <w:rPr>
          <w:rFonts w:ascii="StobiSerif Regular" w:hAnsi="StobiSerif Regular"/>
        </w:rPr>
        <w:t xml:space="preserve"> Платформата е-Баратели се користи како лесно достапен и ефикасен инструмент за поднесување на барања, што </w:t>
      </w:r>
      <w:r w:rsidRPr="00802D03">
        <w:rPr>
          <w:rFonts w:ascii="StobiSerif Regular" w:hAnsi="StobiSerif Regular"/>
        </w:rPr>
        <w:lastRenderedPageBreak/>
        <w:t>придонесува за унапредување на административната ефикасност во постапките.</w:t>
      </w:r>
    </w:p>
    <w:p w14:paraId="59FE8020" w14:textId="6EFE0332" w:rsidR="00DE64F8" w:rsidRPr="00802D03" w:rsidRDefault="00DE64F8" w:rsidP="00DE64F8">
      <w:pPr>
        <w:pStyle w:val="NormalWeb"/>
        <w:jc w:val="both"/>
        <w:rPr>
          <w:rFonts w:ascii="StobiSerif Regular" w:hAnsi="StobiSerif Regular"/>
          <w:b/>
          <w:bCs/>
        </w:rPr>
      </w:pPr>
      <w:r w:rsidRPr="00802D03">
        <w:rPr>
          <w:rStyle w:val="Strong"/>
          <w:rFonts w:ascii="StobiSerif Regular" w:hAnsi="StobiSerif Regular"/>
          <w:b w:val="0"/>
          <w:bCs w:val="0"/>
        </w:rPr>
        <w:t>Статистиката на порталот покажува дека на најголем број од поднесените барања, барателите успешно добиле одговор на поднесените барања во законски пропишаниот рок.</w:t>
      </w:r>
    </w:p>
    <w:p w14:paraId="5A8BD44E" w14:textId="77777777" w:rsidR="00B33532" w:rsidRPr="00EE06A2" w:rsidRDefault="00B33532" w:rsidP="00B33532">
      <w:pPr>
        <w:spacing w:before="100" w:beforeAutospacing="1" w:after="100" w:afterAutospacing="1" w:line="240" w:lineRule="auto"/>
        <w:jc w:val="both"/>
        <w:outlineLvl w:val="2"/>
        <w:rPr>
          <w:rFonts w:eastAsia="Times New Roman" w:cs="Times New Roman"/>
          <w:b/>
          <w:bCs/>
          <w:lang w:val="mk-MK" w:eastAsia="mk-MK"/>
        </w:rPr>
      </w:pPr>
      <w:r w:rsidRPr="00EE06A2">
        <w:rPr>
          <w:rFonts w:eastAsia="Times New Roman" w:cs="Times New Roman"/>
          <w:b/>
          <w:bCs/>
          <w:lang w:val="mk-MK" w:eastAsia="mk-MK"/>
        </w:rPr>
        <w:t>Континуирана обука: Стандарди за едукација на административниот кадар за важноста на транспарентноста</w:t>
      </w:r>
    </w:p>
    <w:p w14:paraId="415C9405" w14:textId="77777777"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 xml:space="preserve">Промената на менталитетот е долгорочна инвестиција. Потребно е да се воспостават </w:t>
      </w:r>
      <w:r w:rsidRPr="00EE06A2">
        <w:rPr>
          <w:rFonts w:eastAsia="Times New Roman" w:cs="Times New Roman"/>
          <w:b/>
          <w:bCs/>
          <w:lang w:val="mk-MK" w:eastAsia="mk-MK"/>
        </w:rPr>
        <w:t>стандардизирани и континуирани програми за обука</w:t>
      </w:r>
      <w:r w:rsidRPr="00EE06A2">
        <w:rPr>
          <w:rFonts w:eastAsia="Times New Roman" w:cs="Times New Roman"/>
          <w:lang w:val="mk-MK" w:eastAsia="mk-MK"/>
        </w:rPr>
        <w:t xml:space="preserve"> за целиот административен кадар, особено за оние кои се во директен контакт со барањата за информации. Обуките треба да се фокусираат не само на законската рамка, туку и на </w:t>
      </w:r>
      <w:r w:rsidRPr="00EE06A2">
        <w:rPr>
          <w:rFonts w:eastAsia="Times New Roman" w:cs="Times New Roman"/>
          <w:b/>
          <w:bCs/>
          <w:lang w:val="mk-MK" w:eastAsia="mk-MK"/>
        </w:rPr>
        <w:t>важноста на транспарентноста како фундаментален принцип на добро владеење и демократија</w:t>
      </w:r>
      <w:r w:rsidRPr="00EE06A2">
        <w:rPr>
          <w:rFonts w:eastAsia="Times New Roman" w:cs="Times New Roman"/>
          <w:lang w:val="mk-MK" w:eastAsia="mk-MK"/>
        </w:rPr>
        <w:t>. Тие треба да ги развијат вештините за брзо, ефикасно и коректно постапување со барањата, како и да ја објаснат улогата на јавноста во контролата на власта. Со постојано едуцирање, администрацијата ќе стане проактивна во обелоденувањето на информациите и ќе се намали отпорот кон транспарентноста.</w:t>
      </w:r>
    </w:p>
    <w:p w14:paraId="17A75BEF" w14:textId="77777777" w:rsidR="00B33532" w:rsidRPr="00EE06A2" w:rsidRDefault="00B33532" w:rsidP="00B33532">
      <w:pPr>
        <w:pStyle w:val="NormalWeb"/>
        <w:jc w:val="both"/>
        <w:rPr>
          <w:rFonts w:ascii="StobiSerif Regular" w:hAnsi="StobiSerif Regular"/>
          <w:b/>
          <w:bCs/>
        </w:rPr>
      </w:pPr>
      <w:r w:rsidRPr="00EE06A2">
        <w:rPr>
          <w:rFonts w:ascii="StobiSerif Regular" w:hAnsi="StobiSerif Regular"/>
          <w:b/>
          <w:bCs/>
        </w:rPr>
        <w:t>Со судски средства против институционалниот молк: Потребата од финансиска и правна поддршка</w:t>
      </w:r>
    </w:p>
    <w:p w14:paraId="0A7EAAAE" w14:textId="77777777" w:rsidR="00B33532" w:rsidRPr="00EE06A2" w:rsidRDefault="00B33532" w:rsidP="00B33532">
      <w:pPr>
        <w:pStyle w:val="NormalWeb"/>
        <w:jc w:val="both"/>
        <w:rPr>
          <w:rFonts w:ascii="StobiSerif Regular" w:hAnsi="StobiSerif Regular"/>
        </w:rPr>
      </w:pPr>
      <w:r w:rsidRPr="00EE06A2">
        <w:rPr>
          <w:rFonts w:ascii="StobiSerif Regular" w:hAnsi="StobiSerif Regular"/>
        </w:rPr>
        <w:t>Ефективната примена на правото на пристап до информации од јавен карактер често зависи од можноста да се иницираат и водат стратешки судски процеси кои ќе создадат трајна судска пракса на полето на заштита на правото на пристап до информации од јавен карактер. Во контекст на сè почестите случаи на молк на администрацијата, одбивањата без образложение и формалните толкувања на Законот за слободен пристап до информации, клучно е да се овозможи структурирана поддршка за граѓаните, новинарите и граѓанските организации што сакаат да ги оспорат негативните практики пред надлежните судови.</w:t>
      </w:r>
    </w:p>
    <w:p w14:paraId="38669A4C" w14:textId="77777777" w:rsidR="00B33532" w:rsidRPr="00EE06A2" w:rsidRDefault="00B33532" w:rsidP="00B33532">
      <w:pPr>
        <w:spacing w:before="100" w:beforeAutospacing="1" w:after="100" w:afterAutospacing="1" w:line="240" w:lineRule="auto"/>
        <w:jc w:val="both"/>
        <w:outlineLvl w:val="2"/>
        <w:rPr>
          <w:lang w:val="mk-MK"/>
        </w:rPr>
      </w:pPr>
      <w:proofErr w:type="spellStart"/>
      <w:r w:rsidRPr="00EE06A2">
        <w:t>Примерите</w:t>
      </w:r>
      <w:proofErr w:type="spellEnd"/>
      <w:r w:rsidRPr="00EE06A2">
        <w:t xml:space="preserve"> </w:t>
      </w:r>
      <w:proofErr w:type="spellStart"/>
      <w:r w:rsidRPr="00EE06A2">
        <w:t>од</w:t>
      </w:r>
      <w:proofErr w:type="spellEnd"/>
      <w:r w:rsidRPr="00EE06A2">
        <w:t xml:space="preserve"> </w:t>
      </w:r>
      <w:proofErr w:type="spellStart"/>
      <w:r w:rsidRPr="00EE06A2">
        <w:t>земјите</w:t>
      </w:r>
      <w:proofErr w:type="spellEnd"/>
      <w:r w:rsidRPr="00EE06A2">
        <w:t xml:space="preserve"> </w:t>
      </w:r>
      <w:proofErr w:type="spellStart"/>
      <w:r w:rsidRPr="00EE06A2">
        <w:t>во</w:t>
      </w:r>
      <w:proofErr w:type="spellEnd"/>
      <w:r w:rsidRPr="00EE06A2">
        <w:t xml:space="preserve"> </w:t>
      </w:r>
      <w:proofErr w:type="spellStart"/>
      <w:r w:rsidRPr="00EE06A2">
        <w:t>регионот</w:t>
      </w:r>
      <w:proofErr w:type="spellEnd"/>
      <w:r w:rsidRPr="00EE06A2">
        <w:t xml:space="preserve"> </w:t>
      </w:r>
      <w:proofErr w:type="spellStart"/>
      <w:r w:rsidRPr="00EE06A2">
        <w:t>покажуваат</w:t>
      </w:r>
      <w:proofErr w:type="spellEnd"/>
      <w:r w:rsidRPr="00EE06A2">
        <w:t xml:space="preserve"> </w:t>
      </w:r>
      <w:proofErr w:type="spellStart"/>
      <w:r w:rsidRPr="00EE06A2">
        <w:t>дека</w:t>
      </w:r>
      <w:proofErr w:type="spellEnd"/>
      <w:r w:rsidRPr="00EE06A2">
        <w:t xml:space="preserve"> </w:t>
      </w:r>
      <w:proofErr w:type="spellStart"/>
      <w:r w:rsidRPr="00EE06A2">
        <w:t>внимателно</w:t>
      </w:r>
      <w:proofErr w:type="spellEnd"/>
      <w:r w:rsidRPr="00EE06A2">
        <w:t xml:space="preserve"> </w:t>
      </w:r>
      <w:proofErr w:type="spellStart"/>
      <w:r w:rsidRPr="00EE06A2">
        <w:t>подготвените</w:t>
      </w:r>
      <w:proofErr w:type="spellEnd"/>
      <w:r w:rsidRPr="00EE06A2">
        <w:t xml:space="preserve"> </w:t>
      </w:r>
      <w:proofErr w:type="spellStart"/>
      <w:r w:rsidRPr="00EE06A2">
        <w:t>стратешки</w:t>
      </w:r>
      <w:proofErr w:type="spellEnd"/>
      <w:r w:rsidRPr="00EE06A2">
        <w:t xml:space="preserve"> </w:t>
      </w:r>
      <w:proofErr w:type="spellStart"/>
      <w:r w:rsidRPr="00EE06A2">
        <w:t>судски</w:t>
      </w:r>
      <w:proofErr w:type="spellEnd"/>
      <w:r w:rsidRPr="00EE06A2">
        <w:t xml:space="preserve"> </w:t>
      </w:r>
      <w:proofErr w:type="spellStart"/>
      <w:r w:rsidRPr="00EE06A2">
        <w:t>постапки</w:t>
      </w:r>
      <w:proofErr w:type="spellEnd"/>
      <w:r w:rsidRPr="00EE06A2">
        <w:t xml:space="preserve">, </w:t>
      </w:r>
      <w:proofErr w:type="spellStart"/>
      <w:r w:rsidRPr="00EE06A2">
        <w:t>особено</w:t>
      </w:r>
      <w:proofErr w:type="spellEnd"/>
      <w:r w:rsidRPr="00EE06A2">
        <w:t xml:space="preserve"> </w:t>
      </w:r>
      <w:proofErr w:type="spellStart"/>
      <w:r w:rsidRPr="00EE06A2">
        <w:t>против</w:t>
      </w:r>
      <w:proofErr w:type="spellEnd"/>
      <w:r w:rsidRPr="00EE06A2">
        <w:t xml:space="preserve"> </w:t>
      </w:r>
      <w:proofErr w:type="spellStart"/>
      <w:r w:rsidRPr="00EE06A2">
        <w:t>институции</w:t>
      </w:r>
      <w:proofErr w:type="spellEnd"/>
      <w:r w:rsidRPr="00EE06A2">
        <w:t xml:space="preserve"> </w:t>
      </w:r>
      <w:proofErr w:type="spellStart"/>
      <w:r w:rsidRPr="00EE06A2">
        <w:t>кои</w:t>
      </w:r>
      <w:proofErr w:type="spellEnd"/>
      <w:r w:rsidRPr="00EE06A2">
        <w:t xml:space="preserve"> </w:t>
      </w:r>
      <w:proofErr w:type="spellStart"/>
      <w:r w:rsidRPr="00EE06A2">
        <w:t>упорно</w:t>
      </w:r>
      <w:proofErr w:type="spellEnd"/>
      <w:r w:rsidRPr="00EE06A2">
        <w:t xml:space="preserve"> </w:t>
      </w:r>
      <w:proofErr w:type="spellStart"/>
      <w:r w:rsidRPr="00EE06A2">
        <w:t>ја</w:t>
      </w:r>
      <w:proofErr w:type="spellEnd"/>
      <w:r w:rsidRPr="00EE06A2">
        <w:t xml:space="preserve"> </w:t>
      </w:r>
      <w:proofErr w:type="spellStart"/>
      <w:r w:rsidRPr="00EE06A2">
        <w:t>занемаруваат</w:t>
      </w:r>
      <w:proofErr w:type="spellEnd"/>
      <w:r w:rsidRPr="00EE06A2">
        <w:t xml:space="preserve"> </w:t>
      </w:r>
      <w:proofErr w:type="spellStart"/>
      <w:r w:rsidRPr="00EE06A2">
        <w:t>својата</w:t>
      </w:r>
      <w:proofErr w:type="spellEnd"/>
      <w:r w:rsidRPr="00EE06A2">
        <w:t xml:space="preserve"> </w:t>
      </w:r>
      <w:proofErr w:type="spellStart"/>
      <w:r w:rsidRPr="00EE06A2">
        <w:t>законска</w:t>
      </w:r>
      <w:proofErr w:type="spellEnd"/>
      <w:r w:rsidRPr="00EE06A2">
        <w:t xml:space="preserve"> </w:t>
      </w:r>
      <w:proofErr w:type="spellStart"/>
      <w:r w:rsidRPr="00EE06A2">
        <w:t>обврска</w:t>
      </w:r>
      <w:proofErr w:type="spellEnd"/>
      <w:r w:rsidRPr="00EE06A2">
        <w:t xml:space="preserve"> за </w:t>
      </w:r>
      <w:proofErr w:type="spellStart"/>
      <w:r w:rsidRPr="00EE06A2">
        <w:t>одговор</w:t>
      </w:r>
      <w:proofErr w:type="spellEnd"/>
      <w:r w:rsidRPr="00EE06A2">
        <w:t xml:space="preserve">, </w:t>
      </w:r>
      <w:proofErr w:type="spellStart"/>
      <w:r w:rsidRPr="00EE06A2">
        <w:t>можат</w:t>
      </w:r>
      <w:proofErr w:type="spellEnd"/>
      <w:r w:rsidRPr="00EE06A2">
        <w:t xml:space="preserve"> </w:t>
      </w:r>
      <w:proofErr w:type="spellStart"/>
      <w:r w:rsidRPr="00EE06A2">
        <w:t>да</w:t>
      </w:r>
      <w:proofErr w:type="spellEnd"/>
      <w:r w:rsidRPr="00EE06A2">
        <w:t xml:space="preserve"> </w:t>
      </w:r>
      <w:proofErr w:type="spellStart"/>
      <w:r w:rsidRPr="00EE06A2">
        <w:t>донесат</w:t>
      </w:r>
      <w:proofErr w:type="spellEnd"/>
      <w:r w:rsidRPr="00EE06A2">
        <w:t xml:space="preserve"> </w:t>
      </w:r>
      <w:proofErr w:type="spellStart"/>
      <w:r w:rsidRPr="00EE06A2">
        <w:t>резултати</w:t>
      </w:r>
      <w:proofErr w:type="spellEnd"/>
      <w:r w:rsidRPr="00EE06A2">
        <w:t xml:space="preserve"> </w:t>
      </w:r>
      <w:proofErr w:type="spellStart"/>
      <w:r w:rsidRPr="00EE06A2">
        <w:t>што</w:t>
      </w:r>
      <w:proofErr w:type="spellEnd"/>
      <w:r w:rsidRPr="00EE06A2">
        <w:t xml:space="preserve"> </w:t>
      </w:r>
      <w:proofErr w:type="spellStart"/>
      <w:r w:rsidRPr="00EE06A2">
        <w:t>одат</w:t>
      </w:r>
      <w:proofErr w:type="spellEnd"/>
      <w:r w:rsidRPr="00EE06A2">
        <w:t xml:space="preserve"> </w:t>
      </w:r>
      <w:proofErr w:type="spellStart"/>
      <w:r w:rsidRPr="00EE06A2">
        <w:t>подалеку</w:t>
      </w:r>
      <w:proofErr w:type="spellEnd"/>
      <w:r w:rsidRPr="00EE06A2">
        <w:t xml:space="preserve"> </w:t>
      </w:r>
      <w:proofErr w:type="spellStart"/>
      <w:r w:rsidRPr="00EE06A2">
        <w:t>од</w:t>
      </w:r>
      <w:proofErr w:type="spellEnd"/>
      <w:r w:rsidRPr="00EE06A2">
        <w:t xml:space="preserve"> </w:t>
      </w:r>
      <w:proofErr w:type="spellStart"/>
      <w:r w:rsidRPr="00EE06A2">
        <w:t>индивидуалната</w:t>
      </w:r>
      <w:proofErr w:type="spellEnd"/>
      <w:r w:rsidRPr="00EE06A2">
        <w:t xml:space="preserve"> </w:t>
      </w:r>
      <w:proofErr w:type="spellStart"/>
      <w:r w:rsidRPr="00EE06A2">
        <w:t>пресуда</w:t>
      </w:r>
      <w:proofErr w:type="spellEnd"/>
      <w:r w:rsidRPr="00EE06A2">
        <w:t xml:space="preserve">. </w:t>
      </w:r>
      <w:proofErr w:type="spellStart"/>
      <w:r w:rsidRPr="00EE06A2">
        <w:t>Покрај</w:t>
      </w:r>
      <w:proofErr w:type="spellEnd"/>
      <w:r w:rsidRPr="00EE06A2">
        <w:t xml:space="preserve"> </w:t>
      </w:r>
      <w:proofErr w:type="spellStart"/>
      <w:r w:rsidRPr="00EE06A2">
        <w:t>добивањето</w:t>
      </w:r>
      <w:proofErr w:type="spellEnd"/>
      <w:r w:rsidRPr="00EE06A2">
        <w:t xml:space="preserve"> на </w:t>
      </w:r>
      <w:proofErr w:type="spellStart"/>
      <w:r w:rsidRPr="00EE06A2">
        <w:t>конкретниот</w:t>
      </w:r>
      <w:proofErr w:type="spellEnd"/>
      <w:r w:rsidRPr="00EE06A2">
        <w:t xml:space="preserve"> </w:t>
      </w:r>
      <w:proofErr w:type="spellStart"/>
      <w:r w:rsidRPr="00EE06A2">
        <w:t>случај</w:t>
      </w:r>
      <w:proofErr w:type="spellEnd"/>
      <w:r w:rsidRPr="00EE06A2">
        <w:t xml:space="preserve">, </w:t>
      </w:r>
      <w:proofErr w:type="spellStart"/>
      <w:r w:rsidRPr="00EE06A2">
        <w:t>овие</w:t>
      </w:r>
      <w:proofErr w:type="spellEnd"/>
      <w:r w:rsidRPr="00EE06A2">
        <w:t xml:space="preserve"> </w:t>
      </w:r>
      <w:proofErr w:type="spellStart"/>
      <w:r w:rsidRPr="00EE06A2">
        <w:t>процеси</w:t>
      </w:r>
      <w:proofErr w:type="spellEnd"/>
      <w:r w:rsidRPr="00EE06A2">
        <w:t xml:space="preserve"> </w:t>
      </w:r>
      <w:proofErr w:type="spellStart"/>
      <w:r w:rsidRPr="00EE06A2">
        <w:t>придонесуваат</w:t>
      </w:r>
      <w:proofErr w:type="spellEnd"/>
      <w:r w:rsidRPr="00EE06A2">
        <w:t xml:space="preserve"> за </w:t>
      </w:r>
      <w:proofErr w:type="spellStart"/>
      <w:r w:rsidRPr="00EE06A2">
        <w:t>зголемување</w:t>
      </w:r>
      <w:proofErr w:type="spellEnd"/>
      <w:r w:rsidRPr="00EE06A2">
        <w:t xml:space="preserve"> на </w:t>
      </w:r>
      <w:proofErr w:type="spellStart"/>
      <w:r w:rsidRPr="00EE06A2">
        <w:t>јавната</w:t>
      </w:r>
      <w:proofErr w:type="spellEnd"/>
      <w:r w:rsidRPr="00EE06A2">
        <w:t xml:space="preserve"> </w:t>
      </w:r>
      <w:proofErr w:type="spellStart"/>
      <w:r w:rsidRPr="00EE06A2">
        <w:t>свест</w:t>
      </w:r>
      <w:proofErr w:type="spellEnd"/>
      <w:r w:rsidRPr="00EE06A2">
        <w:t xml:space="preserve">, </w:t>
      </w:r>
      <w:proofErr w:type="spellStart"/>
      <w:r w:rsidRPr="00EE06A2">
        <w:t>интензивирање</w:t>
      </w:r>
      <w:proofErr w:type="spellEnd"/>
      <w:r w:rsidRPr="00EE06A2">
        <w:t xml:space="preserve"> на </w:t>
      </w:r>
      <w:proofErr w:type="spellStart"/>
      <w:r w:rsidRPr="00EE06A2">
        <w:t>јавниот</w:t>
      </w:r>
      <w:proofErr w:type="spellEnd"/>
      <w:r w:rsidRPr="00EE06A2">
        <w:t xml:space="preserve"> и </w:t>
      </w:r>
      <w:proofErr w:type="spellStart"/>
      <w:r w:rsidRPr="00EE06A2">
        <w:t>медиумски</w:t>
      </w:r>
      <w:proofErr w:type="spellEnd"/>
      <w:r w:rsidRPr="00EE06A2">
        <w:t xml:space="preserve"> </w:t>
      </w:r>
      <w:proofErr w:type="spellStart"/>
      <w:r w:rsidRPr="00EE06A2">
        <w:lastRenderedPageBreak/>
        <w:t>притисок</w:t>
      </w:r>
      <w:proofErr w:type="spellEnd"/>
      <w:r w:rsidRPr="00EE06A2">
        <w:t xml:space="preserve"> </w:t>
      </w:r>
      <w:proofErr w:type="spellStart"/>
      <w:r w:rsidRPr="00EE06A2">
        <w:t>врз</w:t>
      </w:r>
      <w:proofErr w:type="spellEnd"/>
      <w:r w:rsidRPr="00EE06A2">
        <w:t xml:space="preserve"> </w:t>
      </w:r>
      <w:proofErr w:type="spellStart"/>
      <w:r w:rsidRPr="00EE06A2">
        <w:t>институциите</w:t>
      </w:r>
      <w:proofErr w:type="spellEnd"/>
      <w:r w:rsidRPr="00EE06A2">
        <w:t xml:space="preserve"> и </w:t>
      </w:r>
      <w:proofErr w:type="spellStart"/>
      <w:r w:rsidRPr="00EE06A2">
        <w:t>поттикнување</w:t>
      </w:r>
      <w:proofErr w:type="spellEnd"/>
      <w:r w:rsidRPr="00EE06A2">
        <w:t xml:space="preserve"> на </w:t>
      </w:r>
      <w:proofErr w:type="spellStart"/>
      <w:r w:rsidRPr="00EE06A2">
        <w:t>промени</w:t>
      </w:r>
      <w:proofErr w:type="spellEnd"/>
      <w:r w:rsidRPr="00EE06A2">
        <w:t xml:space="preserve"> </w:t>
      </w:r>
      <w:proofErr w:type="spellStart"/>
      <w:r w:rsidRPr="00EE06A2">
        <w:t>во</w:t>
      </w:r>
      <w:proofErr w:type="spellEnd"/>
      <w:r w:rsidRPr="00EE06A2">
        <w:t xml:space="preserve"> </w:t>
      </w:r>
      <w:proofErr w:type="spellStart"/>
      <w:r w:rsidRPr="00EE06A2">
        <w:t>административната</w:t>
      </w:r>
      <w:proofErr w:type="spellEnd"/>
      <w:r w:rsidRPr="00EE06A2">
        <w:t xml:space="preserve"> </w:t>
      </w:r>
      <w:proofErr w:type="spellStart"/>
      <w:r w:rsidRPr="00EE06A2">
        <w:t>пра</w:t>
      </w:r>
      <w:proofErr w:type="spellEnd"/>
      <w:r w:rsidRPr="00EE06A2">
        <w:rPr>
          <w:lang w:val="mk-MK"/>
        </w:rPr>
        <w:t>кса</w:t>
      </w:r>
      <w:r w:rsidRPr="00EE06A2">
        <w:t>.</w:t>
      </w:r>
    </w:p>
    <w:p w14:paraId="533A1B38" w14:textId="77777777" w:rsidR="00B33532" w:rsidRPr="00EE06A2" w:rsidRDefault="00B33532" w:rsidP="00B33532">
      <w:pPr>
        <w:spacing w:before="100" w:beforeAutospacing="1" w:after="100" w:afterAutospacing="1" w:line="240" w:lineRule="auto"/>
        <w:jc w:val="both"/>
        <w:outlineLvl w:val="2"/>
        <w:rPr>
          <w:rFonts w:eastAsia="Times New Roman" w:cs="Times New Roman"/>
          <w:b/>
          <w:bCs/>
          <w:lang w:val="mk-MK" w:eastAsia="mk-MK"/>
        </w:rPr>
      </w:pPr>
      <w:r w:rsidRPr="00EE06A2">
        <w:rPr>
          <w:rFonts w:eastAsia="Times New Roman" w:cs="Times New Roman"/>
          <w:b/>
          <w:bCs/>
          <w:lang w:val="mk-MK" w:eastAsia="mk-MK"/>
        </w:rPr>
        <w:t>Регионална соработка: Формирање регионална мрежа за мониторинг и заеднички индикатори за ефикасност на СПИЈК</w:t>
      </w:r>
    </w:p>
    <w:p w14:paraId="7B1506AF" w14:textId="11997E56"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 xml:space="preserve">Проблемите со транспарентноста се регионални, па и решенијата треба да бидат такви. Потребно е да се </w:t>
      </w:r>
      <w:r w:rsidRPr="00EE06A2">
        <w:rPr>
          <w:rFonts w:eastAsia="Times New Roman" w:cs="Times New Roman"/>
          <w:b/>
          <w:bCs/>
          <w:lang w:val="mk-MK" w:eastAsia="mk-MK"/>
        </w:rPr>
        <w:t>формира силна регионална мрежа</w:t>
      </w:r>
      <w:r w:rsidRPr="00EE06A2">
        <w:rPr>
          <w:rFonts w:eastAsia="Times New Roman" w:cs="Times New Roman"/>
          <w:lang w:val="mk-MK" w:eastAsia="mk-MK"/>
        </w:rPr>
        <w:t xml:space="preserve"> која ќе ги обедини надзорните тела, граѓанските организации и експертите од Западен Балкан.</w:t>
      </w:r>
      <w:r w:rsidRPr="00EE06A2">
        <w:rPr>
          <w:rStyle w:val="FootnoteReference"/>
          <w:rFonts w:eastAsia="Times New Roman" w:cs="Times New Roman"/>
          <w:lang w:val="mk-MK" w:eastAsia="mk-MK"/>
        </w:rPr>
        <w:footnoteReference w:id="14"/>
      </w:r>
      <w:r w:rsidRPr="00EE06A2">
        <w:rPr>
          <w:rFonts w:eastAsia="Times New Roman" w:cs="Times New Roman"/>
          <w:lang w:val="mk-MK" w:eastAsia="mk-MK"/>
        </w:rPr>
        <w:t xml:space="preserve"> Оваа мрежа ќе овозможи </w:t>
      </w:r>
      <w:r w:rsidRPr="00EE06A2">
        <w:rPr>
          <w:rFonts w:eastAsia="Times New Roman" w:cs="Times New Roman"/>
          <w:b/>
          <w:bCs/>
          <w:lang w:val="mk-MK" w:eastAsia="mk-MK"/>
        </w:rPr>
        <w:t>размена на искуства и добри практики</w:t>
      </w:r>
      <w:r w:rsidRPr="00EE06A2">
        <w:rPr>
          <w:rFonts w:eastAsia="Times New Roman" w:cs="Times New Roman"/>
          <w:lang w:val="mk-MK" w:eastAsia="mk-MK"/>
        </w:rPr>
        <w:t xml:space="preserve">, заеднички предизвици и учење од успесите и неуспесите. Дополнително, важно е да се дефинираат </w:t>
      </w:r>
      <w:r w:rsidRPr="00EE06A2">
        <w:rPr>
          <w:rFonts w:eastAsia="Times New Roman" w:cs="Times New Roman"/>
          <w:b/>
          <w:bCs/>
          <w:lang w:val="mk-MK" w:eastAsia="mk-MK"/>
        </w:rPr>
        <w:t>заеднички индикатори за ефикасност</w:t>
      </w:r>
      <w:r w:rsidRPr="00EE06A2">
        <w:rPr>
          <w:rFonts w:eastAsia="Times New Roman" w:cs="Times New Roman"/>
          <w:lang w:val="mk-MK" w:eastAsia="mk-MK"/>
        </w:rPr>
        <w:t xml:space="preserve"> на системите за слободен пристап до информации од јавен карактер (СПИЈК). Овие индикатори ќе овозможат споредба на прогресот на слободниот пристап меѓу земјите, идентификување на области за подобрување и креирање на регионални политики за зајакнување на транспарентноста. Оваа соработка ќе го зајакне притисокот врз владите за имплементација на реформите и ќе овозможи регионално унапредување на отчетноста.</w:t>
      </w:r>
    </w:p>
    <w:p w14:paraId="70AE6A2C" w14:textId="270FE6EE" w:rsidR="00B33532" w:rsidRPr="00EE06A2" w:rsidRDefault="00B33532" w:rsidP="00B33532">
      <w:pPr>
        <w:spacing w:before="100" w:beforeAutospacing="1" w:after="100" w:afterAutospacing="1" w:line="240" w:lineRule="auto"/>
        <w:jc w:val="both"/>
        <w:outlineLvl w:val="2"/>
        <w:rPr>
          <w:rFonts w:eastAsia="Times New Roman" w:cs="Times New Roman"/>
          <w:b/>
          <w:bCs/>
          <w:lang w:val="mk-MK" w:eastAsia="mk-MK"/>
        </w:rPr>
      </w:pPr>
      <w:r w:rsidRPr="00EE06A2">
        <w:rPr>
          <w:rFonts w:eastAsia="Times New Roman" w:cs="Times New Roman"/>
          <w:b/>
          <w:bCs/>
          <w:lang w:val="mk-MK" w:eastAsia="mk-MK"/>
        </w:rPr>
        <w:t>Интегрирана употреба на технологија: Активна примена на Open Data и алатки со употреба на вештачката интелигенција за предиктивна транспарентност</w:t>
      </w:r>
      <w:r w:rsidR="003B3C76">
        <w:rPr>
          <w:rStyle w:val="FootnoteReference"/>
          <w:rFonts w:eastAsia="Times New Roman" w:cs="Times New Roman"/>
          <w:b/>
          <w:bCs/>
          <w:lang w:val="mk-MK" w:eastAsia="mk-MK"/>
        </w:rPr>
        <w:footnoteReference w:id="15"/>
      </w:r>
    </w:p>
    <w:p w14:paraId="6E2C0AE6" w14:textId="0B02FF77"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 xml:space="preserve">Во ерата на дигитализација, технологијата нуди огромни можности за подобрување на транспарентноста. Активна примена на принципите на </w:t>
      </w:r>
      <w:r w:rsidRPr="00EE06A2">
        <w:rPr>
          <w:rFonts w:eastAsia="Times New Roman" w:cs="Times New Roman"/>
          <w:b/>
          <w:bCs/>
          <w:lang w:val="mk-MK" w:eastAsia="mk-MK"/>
        </w:rPr>
        <w:t>отворените податоци (Open Data)</w:t>
      </w:r>
      <w:r w:rsidRPr="00EE06A2">
        <w:rPr>
          <w:rFonts w:eastAsia="Times New Roman" w:cs="Times New Roman"/>
          <w:lang w:val="mk-MK" w:eastAsia="mk-MK"/>
        </w:rPr>
        <w:t xml:space="preserve"> е од суштинско значење, што значи дека јавните податоци треба да бидат достапни во машински читлив формат, лесни за пребарување и повторна употреба</w:t>
      </w:r>
      <w:r w:rsidR="000E27E7">
        <w:rPr>
          <w:rStyle w:val="FootnoteReference"/>
          <w:rFonts w:eastAsia="Times New Roman" w:cs="Times New Roman"/>
          <w:lang w:val="mk-MK" w:eastAsia="mk-MK"/>
        </w:rPr>
        <w:footnoteReference w:id="16"/>
      </w:r>
      <w:r w:rsidRPr="00EE06A2">
        <w:rPr>
          <w:rFonts w:eastAsia="Times New Roman" w:cs="Times New Roman"/>
          <w:lang w:val="mk-MK" w:eastAsia="mk-MK"/>
        </w:rPr>
        <w:t xml:space="preserve">. Ова модернизирана пракса им на овозможува на граѓаните, истражувачите и медиумите полесно да ги анализираат податоците и да ја бараат одговорноста на институциите. Понатаму, развојот и примената на </w:t>
      </w:r>
      <w:r w:rsidRPr="00EE06A2">
        <w:rPr>
          <w:rFonts w:eastAsia="Times New Roman" w:cs="Times New Roman"/>
          <w:b/>
          <w:bCs/>
          <w:lang w:val="mk-MK" w:eastAsia="mk-MK"/>
        </w:rPr>
        <w:t>алатки со вештачка интелигенција (ВИ)</w:t>
      </w:r>
      <w:r w:rsidRPr="00EE06A2">
        <w:rPr>
          <w:rFonts w:eastAsia="Times New Roman" w:cs="Times New Roman"/>
          <w:lang w:val="mk-MK" w:eastAsia="mk-MK"/>
        </w:rPr>
        <w:t xml:space="preserve"> може да овозможи </w:t>
      </w:r>
      <w:r w:rsidRPr="00EE06A2">
        <w:rPr>
          <w:rFonts w:eastAsia="Times New Roman" w:cs="Times New Roman"/>
          <w:b/>
          <w:bCs/>
          <w:lang w:val="mk-MK" w:eastAsia="mk-MK"/>
        </w:rPr>
        <w:t>предиктивна транспарентност</w:t>
      </w:r>
      <w:r w:rsidRPr="00EE06A2">
        <w:rPr>
          <w:rFonts w:eastAsia="Times New Roman" w:cs="Times New Roman"/>
          <w:lang w:val="mk-MK" w:eastAsia="mk-MK"/>
        </w:rPr>
        <w:t xml:space="preserve">. ВИ може да се користи за автоматско идентификување на информации од јавен интерес кои треба да бидат проактивно објавени, за анализа на трендови на барањата за информации и за оптимизирање на процесот на одговарање. На пример, ВИ може да помогне во автоматизирање на рутинските одговори на често </w:t>
      </w:r>
      <w:r w:rsidRPr="00EE06A2">
        <w:rPr>
          <w:rFonts w:eastAsia="Times New Roman" w:cs="Times New Roman"/>
          <w:lang w:val="mk-MK" w:eastAsia="mk-MK"/>
        </w:rPr>
        <w:lastRenderedPageBreak/>
        <w:t>поставувани прашања, ослободувајќи ги службениците за посложени барања.</w:t>
      </w:r>
    </w:p>
    <w:p w14:paraId="2AAB0F92" w14:textId="77777777" w:rsidR="00B33532" w:rsidRPr="00EE06A2" w:rsidRDefault="00B33532" w:rsidP="00B33532">
      <w:pPr>
        <w:spacing w:before="100" w:beforeAutospacing="1" w:after="100" w:afterAutospacing="1" w:line="240" w:lineRule="auto"/>
        <w:jc w:val="both"/>
        <w:outlineLvl w:val="1"/>
        <w:rPr>
          <w:rFonts w:eastAsia="Times New Roman" w:cs="Times New Roman"/>
          <w:b/>
          <w:bCs/>
          <w:sz w:val="27"/>
          <w:szCs w:val="27"/>
          <w:lang w:val="mk-MK" w:eastAsia="mk-MK"/>
        </w:rPr>
      </w:pPr>
      <w:r w:rsidRPr="00EE06A2">
        <w:rPr>
          <w:rFonts w:eastAsia="Times New Roman" w:cs="Times New Roman"/>
          <w:b/>
          <w:bCs/>
          <w:sz w:val="27"/>
          <w:szCs w:val="27"/>
          <w:lang w:val="mk-MK" w:eastAsia="mk-MK"/>
        </w:rPr>
        <w:t>Од декларативна до суштинска транспарентност</w:t>
      </w:r>
    </w:p>
    <w:p w14:paraId="7F810ACF" w14:textId="2188F648"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Административниот молк е хроничен проблем во земјите од Западен Балкан, кој бара системски пристап</w:t>
      </w:r>
      <w:r w:rsidR="00E524DE">
        <w:rPr>
          <w:rStyle w:val="FootnoteReference"/>
          <w:rFonts w:eastAsia="Times New Roman" w:cs="Times New Roman"/>
          <w:b/>
          <w:bCs/>
          <w:lang w:val="mk-MK" w:eastAsia="mk-MK"/>
        </w:rPr>
        <w:footnoteReference w:id="17"/>
      </w:r>
      <w:r w:rsidR="000E27E7">
        <w:rPr>
          <w:rFonts w:eastAsia="Times New Roman" w:cs="Times New Roman"/>
          <w:b/>
          <w:bCs/>
          <w:lang w:val="en-US" w:eastAsia="mk-MK"/>
        </w:rPr>
        <w:t>.</w:t>
      </w:r>
      <w:r w:rsidRPr="00EE06A2">
        <w:rPr>
          <w:rFonts w:eastAsia="Times New Roman" w:cs="Times New Roman"/>
          <w:lang w:val="mk-MK" w:eastAsia="mk-MK"/>
        </w:rPr>
        <w:t xml:space="preserve"> Законите сами по себе не се доволни доколку не се придружени со механизми за имплементација, цврста политичка волја и промена на културата кон транспарентност и отчетност. Судската пракса има потенцијал да биде моќна алатка за заштита на правото на информирање, но потребна е сеопфатна поддршка и стратешки пристап за да се искористи тој потенцијал.</w:t>
      </w:r>
    </w:p>
    <w:p w14:paraId="14889EF0" w14:textId="77777777"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Клучната цел е трансформација на пристапот до информации од само формална гаранција на хартија во реална алатка за контрола на власта.</w:t>
      </w:r>
      <w:r w:rsidRPr="00EE06A2">
        <w:rPr>
          <w:rFonts w:eastAsia="Times New Roman" w:cs="Times New Roman"/>
          <w:lang w:val="mk-MK" w:eastAsia="mk-MK"/>
        </w:rPr>
        <w:t xml:space="preserve"> Ова значи дека граѓаните, медиумите и граѓанското општество треба да бидат подготвени да ги користат информациите за да ја следат работата на институциите, да бараат одговорност и да влијаат во донесувањето на одлуките. За да се постигне ова, неопходна е </w:t>
      </w:r>
      <w:r w:rsidRPr="00EE06A2">
        <w:rPr>
          <w:rFonts w:eastAsia="Times New Roman" w:cs="Times New Roman"/>
          <w:b/>
          <w:bCs/>
          <w:lang w:val="mk-MK" w:eastAsia="mk-MK"/>
        </w:rPr>
        <w:t>инклузивна вклученост на сите релевантни чинители – државата, судството, граѓанското општество, медиумите и меѓународните партнери.</w:t>
      </w:r>
      <w:r w:rsidRPr="00EE06A2">
        <w:rPr>
          <w:rFonts w:eastAsia="Times New Roman" w:cs="Times New Roman"/>
          <w:lang w:val="mk-MK" w:eastAsia="mk-MK"/>
        </w:rPr>
        <w:t xml:space="preserve"> Само преку заеднички напори и посветеност на овие актери може да се изгради систем каде транспарентноста не е исклучок, туку правило.</w:t>
      </w:r>
    </w:p>
    <w:p w14:paraId="58461ADA" w14:textId="77777777" w:rsidR="00B33532" w:rsidRPr="00EE06A2" w:rsidRDefault="00B33532" w:rsidP="00B33532">
      <w:pPr>
        <w:spacing w:before="100" w:beforeAutospacing="1" w:after="100" w:afterAutospacing="1" w:line="240" w:lineRule="auto"/>
        <w:jc w:val="both"/>
        <w:outlineLvl w:val="2"/>
        <w:rPr>
          <w:rFonts w:eastAsia="Times New Roman" w:cs="Times New Roman"/>
          <w:b/>
          <w:bCs/>
          <w:lang w:val="mk-MK" w:eastAsia="mk-MK"/>
        </w:rPr>
      </w:pPr>
      <w:r w:rsidRPr="00EE06A2">
        <w:rPr>
          <w:rFonts w:eastAsia="Times New Roman" w:cs="Times New Roman"/>
          <w:b/>
          <w:bCs/>
          <w:lang w:val="mk-MK" w:eastAsia="mk-MK"/>
        </w:rPr>
        <w:t>Потенцијални пречки во имплементацијата на препораките</w:t>
      </w:r>
    </w:p>
    <w:p w14:paraId="148109D8" w14:textId="77777777" w:rsidR="00B33532" w:rsidRPr="00EE06A2" w:rsidRDefault="00B33532" w:rsidP="00B33532">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И покрај важноста на горенаведените препораки, нивната имплементација во регионот се соочува со низа значајни пречки:</w:t>
      </w:r>
    </w:p>
    <w:p w14:paraId="3563657B" w14:textId="77777777" w:rsidR="00B33532" w:rsidRPr="00EE06A2" w:rsidRDefault="00B33532" w:rsidP="00B33532">
      <w:pPr>
        <w:numPr>
          <w:ilvl w:val="0"/>
          <w:numId w:val="4"/>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Недостиг на политичка волја:</w:t>
      </w:r>
      <w:r w:rsidRPr="00EE06A2">
        <w:rPr>
          <w:rFonts w:eastAsia="Times New Roman" w:cs="Times New Roman"/>
          <w:lang w:val="mk-MK" w:eastAsia="mk-MK"/>
        </w:rPr>
        <w:t xml:space="preserve"> Ова е веројатно најголемата пречка. Владите честопати декларативно ја поддржуваат транспарентноста, но во пракса покажуваат отпор кон целосно отворање на информациите, особено оние кои се однесуваат на спорни одлуки, корупција или неефикасност. Политичките елити може да гледаат на транспарентноста како на закана за нивната моќ и контрола.</w:t>
      </w:r>
    </w:p>
    <w:p w14:paraId="786AE4E1" w14:textId="4B9EBF70" w:rsidR="00802D03" w:rsidRPr="00666B77" w:rsidRDefault="00B33532" w:rsidP="00802D03">
      <w:pPr>
        <w:numPr>
          <w:ilvl w:val="0"/>
          <w:numId w:val="4"/>
        </w:numPr>
        <w:spacing w:before="100" w:beforeAutospacing="1" w:after="100" w:afterAutospacing="1" w:line="240" w:lineRule="auto"/>
        <w:jc w:val="both"/>
        <w:rPr>
          <w:rFonts w:eastAsia="Times New Roman" w:cs="Times New Roman"/>
          <w:color w:val="FF0000"/>
          <w:lang w:val="mk-MK" w:eastAsia="mk-MK"/>
        </w:rPr>
      </w:pPr>
      <w:r w:rsidRPr="00802D03">
        <w:rPr>
          <w:rFonts w:eastAsia="Times New Roman" w:cs="Times New Roman"/>
          <w:b/>
          <w:bCs/>
          <w:lang w:val="mk-MK" w:eastAsia="mk-MK"/>
        </w:rPr>
        <w:t>Слабост на правните институции:</w:t>
      </w:r>
      <w:r w:rsidRPr="00802D03">
        <w:rPr>
          <w:rFonts w:eastAsia="Times New Roman" w:cs="Times New Roman"/>
          <w:lang w:val="mk-MK" w:eastAsia="mk-MK"/>
        </w:rPr>
        <w:t xml:space="preserve"> Судството во многу земји од Западен Балкан сè уште не е целосно независно и ефикасно. Постојат проблеми со корупција, политичко влијание врз судските одлуки, недоволни капацитети </w:t>
      </w:r>
      <w:r w:rsidR="00802D03" w:rsidRPr="00802D03">
        <w:rPr>
          <w:rFonts w:eastAsia="Times New Roman" w:cs="Times New Roman"/>
          <w:lang w:val="mk-MK" w:eastAsia="mk-MK"/>
        </w:rPr>
        <w:t xml:space="preserve">и бавни судски постапки, како и неуедначената </w:t>
      </w:r>
      <w:r w:rsidR="00802D03" w:rsidRPr="00802D03">
        <w:rPr>
          <w:rFonts w:eastAsia="Times New Roman" w:cs="Times New Roman"/>
          <w:lang w:val="mk-MK" w:eastAsia="mk-MK"/>
        </w:rPr>
        <w:lastRenderedPageBreak/>
        <w:t>судска прак</w:t>
      </w:r>
      <w:r w:rsidR="00802D03" w:rsidRPr="00802D03">
        <w:rPr>
          <w:rFonts w:eastAsia="Times New Roman" w:cs="Times New Roman"/>
          <w:lang w:val="mk-MK" w:eastAsia="mk-MK"/>
        </w:rPr>
        <w:t>с</w:t>
      </w:r>
      <w:r w:rsidR="00802D03" w:rsidRPr="00802D03">
        <w:rPr>
          <w:rFonts w:eastAsia="Times New Roman" w:cs="Times New Roman"/>
          <w:lang w:val="mk-MK" w:eastAsia="mk-MK"/>
        </w:rPr>
        <w:t>а кои директно ја попречуваат</w:t>
      </w:r>
      <w:r w:rsidR="00802D03" w:rsidRPr="00802D03">
        <w:rPr>
          <w:rFonts w:eastAsia="Times New Roman" w:cs="Times New Roman"/>
          <w:lang w:val="mk-MK" w:eastAsia="mk-MK"/>
        </w:rPr>
        <w:t xml:space="preserve"> </w:t>
      </w:r>
      <w:r w:rsidR="00802D03" w:rsidRPr="00802D03">
        <w:rPr>
          <w:rFonts w:eastAsia="Times New Roman" w:cs="Times New Roman"/>
          <w:lang w:val="mk-MK" w:eastAsia="mk-MK"/>
        </w:rPr>
        <w:t>имплементацијата на законите за пристап до информации.</w:t>
      </w:r>
    </w:p>
    <w:p w14:paraId="41EEB9AC" w14:textId="37DB71A4" w:rsidR="00B33532" w:rsidRPr="00802D03" w:rsidRDefault="00B33532" w:rsidP="0010618D">
      <w:pPr>
        <w:numPr>
          <w:ilvl w:val="0"/>
          <w:numId w:val="4"/>
        </w:numPr>
        <w:spacing w:before="100" w:beforeAutospacing="1" w:after="100" w:afterAutospacing="1" w:line="240" w:lineRule="auto"/>
        <w:jc w:val="both"/>
        <w:rPr>
          <w:rFonts w:eastAsia="Times New Roman" w:cs="Times New Roman"/>
          <w:lang w:val="mk-MK" w:eastAsia="mk-MK"/>
        </w:rPr>
      </w:pPr>
      <w:r w:rsidRPr="00802D03">
        <w:rPr>
          <w:rFonts w:eastAsia="Times New Roman" w:cs="Times New Roman"/>
          <w:b/>
          <w:bCs/>
          <w:lang w:val="mk-MK" w:eastAsia="mk-MK"/>
        </w:rPr>
        <w:t>Отпор од страна на администрацијата:</w:t>
      </w:r>
      <w:r w:rsidRPr="00802D03">
        <w:rPr>
          <w:rFonts w:eastAsia="Times New Roman" w:cs="Times New Roman"/>
          <w:lang w:val="mk-MK" w:eastAsia="mk-MK"/>
        </w:rPr>
        <w:t xml:space="preserve"> Честопати постои внатрешен отпор во администрацијата кон промена на утврдените практики на тајност. Службениците може да се плашат од одговорност, да им недостигаат вештини за проактивно обелоденување или да имаат чувство дека информациите се „нивна сопственост“, а не јавно добро.</w:t>
      </w:r>
    </w:p>
    <w:p w14:paraId="7E55C5A9" w14:textId="77777777" w:rsidR="00B33532" w:rsidRPr="00EE06A2" w:rsidRDefault="00B33532" w:rsidP="00B33532">
      <w:pPr>
        <w:numPr>
          <w:ilvl w:val="0"/>
          <w:numId w:val="4"/>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Недоволни финансиски и човечки ресурси:</w:t>
      </w:r>
      <w:r w:rsidRPr="00EE06A2">
        <w:rPr>
          <w:rFonts w:eastAsia="Times New Roman" w:cs="Times New Roman"/>
          <w:lang w:val="mk-MK" w:eastAsia="mk-MK"/>
        </w:rPr>
        <w:t xml:space="preserve"> Имплементацијата на дигитални платформи, континуирана обука и системи за следење бараат значителни финансиски и човечки ресурси, кои честопати се ограничени во буџетите на земјите од регионот.</w:t>
      </w:r>
    </w:p>
    <w:p w14:paraId="3C4DF7B5" w14:textId="3C1B5440" w:rsidR="00150BD4" w:rsidRPr="005919F4" w:rsidRDefault="00B33532" w:rsidP="005919F4">
      <w:pPr>
        <w:numPr>
          <w:ilvl w:val="0"/>
          <w:numId w:val="4"/>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Ограничена информираност на јавноста:</w:t>
      </w:r>
      <w:r w:rsidRPr="00EE06A2">
        <w:rPr>
          <w:rFonts w:eastAsia="Times New Roman" w:cs="Times New Roman"/>
          <w:lang w:val="mk-MK" w:eastAsia="mk-MK"/>
        </w:rPr>
        <w:t xml:space="preserve"> Иако правото на информирање е уставно загарантирано, свеста на пошироката јавност за ова право и начините на негово остварување честопати е ниска. Ова ја намалува побарувачката за информации и притисокот врз институциите за нивно подобро и поефикасно управување.</w:t>
      </w:r>
    </w:p>
    <w:p w14:paraId="2627DEF8" w14:textId="48609557" w:rsidR="00B33532" w:rsidRPr="00EE06A2" w:rsidRDefault="00B33532" w:rsidP="00B33532">
      <w:pPr>
        <w:spacing w:before="100" w:beforeAutospacing="1" w:after="100" w:afterAutospacing="1" w:line="240" w:lineRule="auto"/>
        <w:jc w:val="both"/>
        <w:outlineLvl w:val="2"/>
        <w:rPr>
          <w:rFonts w:eastAsia="Times New Roman" w:cs="Times New Roman"/>
          <w:b/>
          <w:bCs/>
          <w:lang w:val="mk-MK" w:eastAsia="mk-MK"/>
        </w:rPr>
      </w:pPr>
      <w:r w:rsidRPr="00EE06A2">
        <w:rPr>
          <w:rFonts w:eastAsia="Times New Roman" w:cs="Times New Roman"/>
          <w:b/>
          <w:bCs/>
          <w:lang w:val="mk-MK" w:eastAsia="mk-MK"/>
        </w:rPr>
        <w:t>Улогата на меѓународните организации во овој процес</w:t>
      </w:r>
    </w:p>
    <w:p w14:paraId="62A1A3B6" w14:textId="77777777" w:rsidR="00B33532" w:rsidRPr="00EE06A2" w:rsidRDefault="00B33532" w:rsidP="00B33532">
      <w:pPr>
        <w:spacing w:before="100" w:beforeAutospacing="1" w:after="100" w:afterAutospacing="1" w:line="240" w:lineRule="auto"/>
        <w:jc w:val="both"/>
        <w:rPr>
          <w:rFonts w:eastAsia="Times New Roman" w:cs="Times New Roman"/>
          <w:lang w:val="en-US" w:eastAsia="mk-MK"/>
        </w:rPr>
      </w:pPr>
      <w:r w:rsidRPr="00EE06A2">
        <w:rPr>
          <w:rFonts w:eastAsia="Times New Roman" w:cs="Times New Roman"/>
          <w:lang w:val="mk-MK" w:eastAsia="mk-MK"/>
        </w:rPr>
        <w:t xml:space="preserve">Меѓународните организации играат </w:t>
      </w:r>
      <w:r w:rsidRPr="00EE06A2">
        <w:rPr>
          <w:rFonts w:eastAsia="Times New Roman" w:cs="Times New Roman"/>
          <w:b/>
          <w:bCs/>
          <w:lang w:val="mk-MK" w:eastAsia="mk-MK"/>
        </w:rPr>
        <w:t>клучна улога</w:t>
      </w:r>
      <w:r w:rsidRPr="00EE06A2">
        <w:rPr>
          <w:rFonts w:eastAsia="Times New Roman" w:cs="Times New Roman"/>
          <w:lang w:val="mk-MK" w:eastAsia="mk-MK"/>
        </w:rPr>
        <w:t xml:space="preserve"> во промовирањето и поддршката на транспарентноста и правото на информирање во земјите на Западен Балкан:</w:t>
      </w:r>
    </w:p>
    <w:p w14:paraId="6E12723A" w14:textId="4143F4A7" w:rsidR="00B33532" w:rsidRPr="00EE06A2" w:rsidRDefault="00B33532" w:rsidP="00B33532">
      <w:pPr>
        <w:numPr>
          <w:ilvl w:val="0"/>
          <w:numId w:val="5"/>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Мониторинг и известување:</w:t>
      </w:r>
      <w:r w:rsidRPr="00EE06A2">
        <w:rPr>
          <w:rFonts w:eastAsia="Times New Roman" w:cs="Times New Roman"/>
          <w:lang w:val="mk-MK" w:eastAsia="mk-MK"/>
        </w:rPr>
        <w:t xml:space="preserve"> Организации како Европската унија (преку процесот на проширување и годишните извештаи за напредок), Советот на Европа, ОБСЕ и различни меѓународни невладини организации (Transparency International, Freedom House</w:t>
      </w:r>
      <w:r w:rsidR="00275CF1">
        <w:rPr>
          <w:rFonts w:eastAsia="Times New Roman" w:cs="Times New Roman"/>
          <w:lang w:val="en-US" w:eastAsia="mk-MK"/>
        </w:rPr>
        <w:t xml:space="preserve">, </w:t>
      </w:r>
      <w:r w:rsidR="00275CF1" w:rsidRPr="00275CF1">
        <w:rPr>
          <w:rFonts w:eastAsia="Times New Roman" w:cs="Times New Roman"/>
          <w:lang w:val="en-US" w:eastAsia="mk-MK"/>
        </w:rPr>
        <w:t>Reporters Without Borders</w:t>
      </w:r>
      <w:r w:rsidRPr="00EE06A2">
        <w:rPr>
          <w:rFonts w:eastAsia="Times New Roman" w:cs="Times New Roman"/>
          <w:lang w:val="mk-MK" w:eastAsia="mk-MK"/>
        </w:rPr>
        <w:t>) редовно ја следат состојбата со транспарентноста и слободата на медиумите.</w:t>
      </w:r>
      <w:r w:rsidR="00275CF1">
        <w:rPr>
          <w:rStyle w:val="FootnoteReference"/>
          <w:rFonts w:eastAsia="Times New Roman" w:cs="Times New Roman"/>
          <w:lang w:val="mk-MK" w:eastAsia="mk-MK"/>
        </w:rPr>
        <w:footnoteReference w:id="18"/>
      </w:r>
      <w:r w:rsidR="00275CF1">
        <w:rPr>
          <w:rFonts w:eastAsia="Times New Roman" w:cs="Times New Roman"/>
          <w:lang w:val="en-US" w:eastAsia="mk-MK"/>
        </w:rPr>
        <w:t xml:space="preserve"> </w:t>
      </w:r>
      <w:r w:rsidRPr="00EE06A2">
        <w:rPr>
          <w:rFonts w:eastAsia="Times New Roman" w:cs="Times New Roman"/>
          <w:lang w:val="mk-MK" w:eastAsia="mk-MK"/>
        </w:rPr>
        <w:t xml:space="preserve">Нивните извештаи идентификуваат недостатоци и вршат </w:t>
      </w:r>
      <w:r w:rsidRPr="00EE06A2">
        <w:rPr>
          <w:rFonts w:eastAsia="Times New Roman" w:cs="Times New Roman"/>
          <w:b/>
          <w:bCs/>
          <w:lang w:val="mk-MK" w:eastAsia="mk-MK"/>
        </w:rPr>
        <w:t>политички притисок</w:t>
      </w:r>
      <w:r w:rsidRPr="00EE06A2">
        <w:rPr>
          <w:rFonts w:eastAsia="Times New Roman" w:cs="Times New Roman"/>
          <w:lang w:val="mk-MK" w:eastAsia="mk-MK"/>
        </w:rPr>
        <w:t xml:space="preserve"> врз владите да спроведат реформи.</w:t>
      </w:r>
    </w:p>
    <w:p w14:paraId="54B5179A" w14:textId="77777777" w:rsidR="00B33532" w:rsidRPr="00EE06A2" w:rsidRDefault="00B33532" w:rsidP="00B33532">
      <w:pPr>
        <w:numPr>
          <w:ilvl w:val="0"/>
          <w:numId w:val="5"/>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Финансиска и техничка поддршка:</w:t>
      </w:r>
      <w:r w:rsidRPr="00EE06A2">
        <w:rPr>
          <w:rFonts w:eastAsia="Times New Roman" w:cs="Times New Roman"/>
          <w:lang w:val="mk-MK" w:eastAsia="mk-MK"/>
        </w:rPr>
        <w:t xml:space="preserve"> Меѓународните донатори обезбедуваат </w:t>
      </w:r>
      <w:r w:rsidRPr="00EE06A2">
        <w:rPr>
          <w:rFonts w:eastAsia="Times New Roman" w:cs="Times New Roman"/>
          <w:b/>
          <w:bCs/>
          <w:lang w:val="mk-MK" w:eastAsia="mk-MK"/>
        </w:rPr>
        <w:t>значајни финансиски средства</w:t>
      </w:r>
      <w:r w:rsidRPr="00EE06A2">
        <w:rPr>
          <w:rFonts w:eastAsia="Times New Roman" w:cs="Times New Roman"/>
          <w:lang w:val="mk-MK" w:eastAsia="mk-MK"/>
        </w:rPr>
        <w:t xml:space="preserve"> за проекти кои имаат за цел зајакнување на граѓанското општество, медиумите, судството и капацитетите на администрацијата. Ова вклучува финансирање на обуки, развој на дигитални алатки, правна помош за стратешки тужби (</w:t>
      </w:r>
      <w:r w:rsidRPr="00EE06A2">
        <w:rPr>
          <w:rFonts w:eastAsia="Times New Roman" w:cs="Times New Roman"/>
          <w:lang w:val="en-US" w:eastAsia="mk-MK"/>
        </w:rPr>
        <w:t>SLAPP)</w:t>
      </w:r>
      <w:r w:rsidRPr="00EE06A2">
        <w:rPr>
          <w:rFonts w:eastAsia="Times New Roman" w:cs="Times New Roman"/>
          <w:lang w:val="mk-MK" w:eastAsia="mk-MK"/>
        </w:rPr>
        <w:t xml:space="preserve"> и поддршка на независните медиуми.</w:t>
      </w:r>
    </w:p>
    <w:p w14:paraId="42574497" w14:textId="77777777" w:rsidR="00B33532" w:rsidRPr="00EE06A2" w:rsidRDefault="00B33532" w:rsidP="00B33532">
      <w:pPr>
        <w:numPr>
          <w:ilvl w:val="0"/>
          <w:numId w:val="5"/>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Експертиза и размена на добри практики:</w:t>
      </w:r>
      <w:r w:rsidRPr="00EE06A2">
        <w:rPr>
          <w:rFonts w:eastAsia="Times New Roman" w:cs="Times New Roman"/>
          <w:lang w:val="mk-MK" w:eastAsia="mk-MK"/>
        </w:rPr>
        <w:t xml:space="preserve"> Меѓународните експерти обезбедуваат </w:t>
      </w:r>
      <w:r w:rsidRPr="00EE06A2">
        <w:rPr>
          <w:rFonts w:eastAsia="Times New Roman" w:cs="Times New Roman"/>
          <w:b/>
          <w:bCs/>
          <w:lang w:val="mk-MK" w:eastAsia="mk-MK"/>
        </w:rPr>
        <w:t>техничка помош</w:t>
      </w:r>
      <w:r w:rsidRPr="00EE06A2">
        <w:rPr>
          <w:rFonts w:eastAsia="Times New Roman" w:cs="Times New Roman"/>
          <w:lang w:val="mk-MK" w:eastAsia="mk-MK"/>
        </w:rPr>
        <w:t xml:space="preserve"> во креирањето на закони, стратегии и </w:t>
      </w:r>
      <w:r w:rsidRPr="00EE06A2">
        <w:rPr>
          <w:rFonts w:eastAsia="Times New Roman" w:cs="Times New Roman"/>
          <w:lang w:val="mk-MK" w:eastAsia="mk-MK"/>
        </w:rPr>
        <w:lastRenderedPageBreak/>
        <w:t xml:space="preserve">механизми за имплементација кои се во согласност со меѓународните стандарди. Тие исто така </w:t>
      </w:r>
      <w:r w:rsidRPr="00EE06A2">
        <w:rPr>
          <w:rFonts w:eastAsia="Times New Roman" w:cs="Times New Roman"/>
          <w:lang w:val="en-US" w:eastAsia="mk-MK"/>
        </w:rPr>
        <w:t>ja</w:t>
      </w:r>
      <w:r w:rsidRPr="00EE06A2">
        <w:rPr>
          <w:rFonts w:eastAsia="Times New Roman" w:cs="Times New Roman"/>
          <w:lang w:val="mk-MK" w:eastAsia="mk-MK"/>
        </w:rPr>
        <w:t xml:space="preserve"> олеснуваат </w:t>
      </w:r>
      <w:r w:rsidRPr="00EE06A2">
        <w:rPr>
          <w:rFonts w:eastAsia="Times New Roman" w:cs="Times New Roman"/>
          <w:b/>
          <w:bCs/>
          <w:lang w:val="mk-MK" w:eastAsia="mk-MK"/>
        </w:rPr>
        <w:t>размената на искуства</w:t>
      </w:r>
      <w:r w:rsidRPr="00EE06A2">
        <w:rPr>
          <w:rFonts w:eastAsia="Times New Roman" w:cs="Times New Roman"/>
          <w:lang w:val="mk-MK" w:eastAsia="mk-MK"/>
        </w:rPr>
        <w:t xml:space="preserve"> меѓу земјите, овозможувајќи им да учат од успесите и предизвиците на другите.</w:t>
      </w:r>
    </w:p>
    <w:p w14:paraId="28EF1FEF" w14:textId="77777777" w:rsidR="00B33532" w:rsidRPr="00EE06A2" w:rsidRDefault="00B33532" w:rsidP="00B33532">
      <w:pPr>
        <w:numPr>
          <w:ilvl w:val="0"/>
          <w:numId w:val="5"/>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Застапување и лобирање:</w:t>
      </w:r>
      <w:r w:rsidRPr="00EE06A2">
        <w:rPr>
          <w:rFonts w:eastAsia="Times New Roman" w:cs="Times New Roman"/>
          <w:lang w:val="mk-MK" w:eastAsia="mk-MK"/>
        </w:rPr>
        <w:t xml:space="preserve"> Меѓународните организации честопати се клучни во застапувањето за реформи на високо политичко ниво, поттикнувајќи ги владите да ги исполнат своите обврски и да го почитуваат правото на информирање како основен демократски принцип.</w:t>
      </w:r>
    </w:p>
    <w:p w14:paraId="78A8EDCF" w14:textId="77777777" w:rsidR="00B33532" w:rsidRPr="00EE06A2" w:rsidRDefault="00B33532" w:rsidP="00B33532">
      <w:pPr>
        <w:numPr>
          <w:ilvl w:val="0"/>
          <w:numId w:val="5"/>
        </w:num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b/>
          <w:bCs/>
          <w:lang w:val="mk-MK" w:eastAsia="mk-MK"/>
        </w:rPr>
        <w:t>Поставување услови:</w:t>
      </w:r>
      <w:r w:rsidRPr="00EE06A2">
        <w:rPr>
          <w:rFonts w:eastAsia="Times New Roman" w:cs="Times New Roman"/>
          <w:lang w:val="mk-MK" w:eastAsia="mk-MK"/>
        </w:rPr>
        <w:t xml:space="preserve"> Во контекст на евроинтеграциите, ЕУ може да поставува </w:t>
      </w:r>
      <w:r w:rsidRPr="00EE06A2">
        <w:rPr>
          <w:rFonts w:eastAsia="Times New Roman" w:cs="Times New Roman"/>
          <w:b/>
          <w:bCs/>
          <w:lang w:val="mk-MK" w:eastAsia="mk-MK"/>
        </w:rPr>
        <w:t>конкретни услови</w:t>
      </w:r>
      <w:r w:rsidRPr="00EE06A2">
        <w:rPr>
          <w:rFonts w:eastAsia="Times New Roman" w:cs="Times New Roman"/>
          <w:lang w:val="mk-MK" w:eastAsia="mk-MK"/>
        </w:rPr>
        <w:t xml:space="preserve"> поврзани со владеењето на правото и транспарентноста, чие исполнување е неопходно за напредок во преговорите. Ова е моќна алатка за поттикнување на реформите.</w:t>
      </w:r>
    </w:p>
    <w:p w14:paraId="20F400CB" w14:textId="4BCF3E18" w:rsidR="005919F4" w:rsidRPr="005919F4" w:rsidRDefault="00B33532" w:rsidP="005919F4">
      <w:pPr>
        <w:spacing w:before="100" w:beforeAutospacing="1" w:after="100" w:afterAutospacing="1" w:line="240" w:lineRule="auto"/>
        <w:jc w:val="both"/>
        <w:rPr>
          <w:rFonts w:eastAsia="Times New Roman" w:cs="Times New Roman"/>
          <w:lang w:val="mk-MK" w:eastAsia="mk-MK"/>
        </w:rPr>
      </w:pPr>
      <w:r w:rsidRPr="00EE06A2">
        <w:rPr>
          <w:rFonts w:eastAsia="Times New Roman" w:cs="Times New Roman"/>
          <w:lang w:val="mk-MK" w:eastAsia="mk-MK"/>
        </w:rPr>
        <w:t xml:space="preserve">Иако меѓународната поддршка е клучна, </w:t>
      </w:r>
      <w:r w:rsidRPr="00EE06A2">
        <w:rPr>
          <w:rFonts w:eastAsia="Times New Roman" w:cs="Times New Roman"/>
          <w:b/>
          <w:bCs/>
          <w:lang w:val="mk-MK" w:eastAsia="mk-MK"/>
        </w:rPr>
        <w:t>успехот на реформите секогаш зависи од посветеноста и политичката волја на домашните актери.</w:t>
      </w:r>
      <w:r w:rsidRPr="00EE06A2">
        <w:rPr>
          <w:rFonts w:eastAsia="Times New Roman" w:cs="Times New Roman"/>
          <w:lang w:val="mk-MK" w:eastAsia="mk-MK"/>
        </w:rPr>
        <w:t xml:space="preserve"> Без силна внатрешна мотивација и координирани напори, дури и најдобрите препораки и најголемата меѓународна поддршка може да останат само на хартија.</w:t>
      </w:r>
    </w:p>
    <w:p w14:paraId="1CE7DE29" w14:textId="15684F8E" w:rsidR="00B33532" w:rsidRPr="00EE06A2" w:rsidRDefault="00B33532" w:rsidP="00B33532">
      <w:pPr>
        <w:spacing w:before="100" w:beforeAutospacing="1" w:after="100" w:afterAutospacing="1" w:line="240" w:lineRule="auto"/>
        <w:jc w:val="both"/>
        <w:outlineLvl w:val="2"/>
        <w:rPr>
          <w:rFonts w:eastAsia="Times New Roman" w:cs="Times New Roman"/>
          <w:b/>
          <w:bCs/>
          <w:sz w:val="27"/>
          <w:szCs w:val="27"/>
          <w:lang w:val="en-US"/>
        </w:rPr>
      </w:pPr>
      <w:proofErr w:type="spellStart"/>
      <w:r w:rsidRPr="00EE06A2">
        <w:rPr>
          <w:rFonts w:eastAsia="Times New Roman" w:cs="Times New Roman"/>
          <w:b/>
          <w:bCs/>
          <w:sz w:val="27"/>
          <w:szCs w:val="27"/>
          <w:lang w:val="en-US"/>
        </w:rPr>
        <w:t>Заклучок</w:t>
      </w:r>
      <w:proofErr w:type="spellEnd"/>
    </w:p>
    <w:p w14:paraId="06427C34" w14:textId="77777777" w:rsidR="00B33532" w:rsidRPr="00EE06A2" w:rsidRDefault="00B33532" w:rsidP="00B33532">
      <w:pPr>
        <w:spacing w:before="100" w:beforeAutospacing="1" w:after="100" w:afterAutospacing="1" w:line="240" w:lineRule="auto"/>
        <w:jc w:val="both"/>
        <w:rPr>
          <w:rFonts w:eastAsia="Times New Roman" w:cs="Times New Roman"/>
          <w:lang w:val="en-US"/>
        </w:rPr>
      </w:pPr>
      <w:proofErr w:type="spellStart"/>
      <w:r w:rsidRPr="00EE06A2">
        <w:rPr>
          <w:rFonts w:eastAsia="Times New Roman" w:cs="Times New Roman"/>
          <w:lang w:val="en-US"/>
        </w:rPr>
        <w:t>Молкот</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администрацијата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претставува</w:t>
      </w:r>
      <w:proofErr w:type="spellEnd"/>
      <w:r w:rsidRPr="00EE06A2">
        <w:rPr>
          <w:rFonts w:eastAsia="Times New Roman" w:cs="Times New Roman"/>
          <w:lang w:val="en-US"/>
        </w:rPr>
        <w:t xml:space="preserve"> </w:t>
      </w:r>
      <w:proofErr w:type="spellStart"/>
      <w:r w:rsidRPr="00EE06A2">
        <w:t>најраспространетите</w:t>
      </w:r>
      <w:proofErr w:type="spellEnd"/>
      <w:r w:rsidRPr="00EE06A2">
        <w:rPr>
          <w:lang w:val="mk-MK"/>
        </w:rPr>
        <w:t xml:space="preserve"> </w:t>
      </w:r>
      <w:proofErr w:type="spellStart"/>
      <w:r w:rsidRPr="00EE06A2">
        <w:rPr>
          <w:rFonts w:eastAsia="Times New Roman" w:cs="Times New Roman"/>
          <w:lang w:val="en-US"/>
        </w:rPr>
        <w:t>форм</w:t>
      </w:r>
      <w:proofErr w:type="spellEnd"/>
      <w:r w:rsidRPr="00EE06A2">
        <w:rPr>
          <w:rFonts w:eastAsia="Times New Roman" w:cs="Times New Roman"/>
          <w:lang w:val="mk-MK"/>
        </w:rPr>
        <w:t>и</w:t>
      </w:r>
      <w:r w:rsidRPr="00EE06A2">
        <w:rPr>
          <w:rFonts w:eastAsia="Times New Roman" w:cs="Times New Roman"/>
          <w:lang w:val="en-US"/>
        </w:rPr>
        <w:t xml:space="preserve"> на </w:t>
      </w:r>
      <w:proofErr w:type="spellStart"/>
      <w:r w:rsidRPr="00EE06A2">
        <w:rPr>
          <w:rFonts w:eastAsia="Times New Roman" w:cs="Times New Roman"/>
          <w:lang w:val="en-US"/>
        </w:rPr>
        <w:t>институционална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неотчетност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во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земјите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од</w:t>
      </w:r>
      <w:proofErr w:type="spellEnd"/>
      <w:r w:rsidRPr="00EE06A2">
        <w:rPr>
          <w:rFonts w:eastAsia="Times New Roman" w:cs="Times New Roman"/>
          <w:lang w:val="en-US"/>
        </w:rPr>
        <w:t xml:space="preserve"> </w:t>
      </w:r>
      <w:proofErr w:type="spellStart"/>
      <w:r w:rsidRPr="00EE06A2">
        <w:rPr>
          <w:rFonts w:eastAsia="Times New Roman" w:cs="Times New Roman"/>
          <w:lang w:val="en-US"/>
        </w:rPr>
        <w:t>Западен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Балкан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Иако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правото</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слободен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пристап</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информации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од</w:t>
      </w:r>
      <w:proofErr w:type="spellEnd"/>
      <w:r w:rsidRPr="00EE06A2">
        <w:rPr>
          <w:rFonts w:eastAsia="Times New Roman" w:cs="Times New Roman"/>
          <w:lang w:val="en-US"/>
        </w:rPr>
        <w:t xml:space="preserve"> </w:t>
      </w:r>
      <w:proofErr w:type="spellStart"/>
      <w:r w:rsidRPr="00EE06A2">
        <w:rPr>
          <w:rFonts w:eastAsia="Times New Roman" w:cs="Times New Roman"/>
          <w:lang w:val="en-US"/>
        </w:rPr>
        <w:t>јавен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карактер</w:t>
      </w:r>
      <w:proofErr w:type="spellEnd"/>
      <w:r w:rsidRPr="00EE06A2">
        <w:rPr>
          <w:rFonts w:eastAsia="Times New Roman" w:cs="Times New Roman"/>
          <w:lang w:val="en-US"/>
        </w:rPr>
        <w:t xml:space="preserve"> е </w:t>
      </w:r>
      <w:proofErr w:type="spellStart"/>
      <w:r w:rsidRPr="00EE06A2">
        <w:rPr>
          <w:rFonts w:eastAsia="Times New Roman" w:cs="Times New Roman"/>
          <w:lang w:val="en-US"/>
        </w:rPr>
        <w:t>законски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загарантирано</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формално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признато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како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основа</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транспарентното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управување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неговата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практична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примена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останува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сериозно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ограничена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токму</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поради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непостапувањето</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институциите</w:t>
      </w:r>
      <w:proofErr w:type="spellEnd"/>
      <w:r w:rsidRPr="00EE06A2">
        <w:rPr>
          <w:rFonts w:eastAsia="Times New Roman" w:cs="Times New Roman"/>
          <w:lang w:val="mk-MK"/>
        </w:rPr>
        <w:t xml:space="preserve"> во законски пропишаниот рок за постапување по барањата за информации од јавен карактер</w:t>
      </w:r>
      <w:r w:rsidRPr="00EE06A2">
        <w:rPr>
          <w:rFonts w:eastAsia="Times New Roman" w:cs="Times New Roman"/>
          <w:lang w:val="en-US"/>
        </w:rPr>
        <w:t xml:space="preserve">. </w:t>
      </w:r>
      <w:proofErr w:type="spellStart"/>
      <w:r w:rsidRPr="00EE06A2">
        <w:rPr>
          <w:rFonts w:eastAsia="Times New Roman" w:cs="Times New Roman"/>
          <w:lang w:val="en-US"/>
        </w:rPr>
        <w:t>Анализата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покажува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дека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оваа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појава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w:t>
      </w:r>
      <w:proofErr w:type="spellEnd"/>
      <w:r w:rsidRPr="00EE06A2">
        <w:rPr>
          <w:rFonts w:eastAsia="Times New Roman" w:cs="Times New Roman"/>
          <w:lang w:val="en-US"/>
        </w:rPr>
        <w:t xml:space="preserve"> е </w:t>
      </w:r>
      <w:proofErr w:type="spellStart"/>
      <w:r w:rsidRPr="00EE06A2">
        <w:rPr>
          <w:rFonts w:eastAsia="Times New Roman" w:cs="Times New Roman"/>
          <w:lang w:val="en-US"/>
        </w:rPr>
        <w:t>случајна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или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спорадична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туку</w:t>
      </w:r>
      <w:proofErr w:type="spellEnd"/>
      <w:r w:rsidRPr="00EE06A2">
        <w:rPr>
          <w:rFonts w:eastAsia="Times New Roman" w:cs="Times New Roman"/>
          <w:lang w:val="en-US"/>
        </w:rPr>
        <w:t xml:space="preserve"> </w:t>
      </w:r>
      <w:proofErr w:type="spellStart"/>
      <w:r w:rsidRPr="00EE06A2">
        <w:rPr>
          <w:rFonts w:eastAsia="Times New Roman" w:cs="Times New Roman"/>
          <w:lang w:val="en-US"/>
        </w:rPr>
        <w:t>резултат</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системски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слабости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недостиг</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политичка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волја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инертност</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администрацијата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несоодветни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ресурси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правна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несигурност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слаба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судска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извршност</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култура</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селективно</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формално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спроведување</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законите</w:t>
      </w:r>
      <w:proofErr w:type="spellEnd"/>
      <w:r w:rsidRPr="00EE06A2">
        <w:rPr>
          <w:rFonts w:eastAsia="Times New Roman" w:cs="Times New Roman"/>
          <w:lang w:val="en-US"/>
        </w:rPr>
        <w:t>.</w:t>
      </w:r>
    </w:p>
    <w:p w14:paraId="3FA377EF" w14:textId="77777777" w:rsidR="00B33532" w:rsidRPr="00EE06A2" w:rsidRDefault="00B33532" w:rsidP="00B33532">
      <w:pPr>
        <w:spacing w:before="100" w:beforeAutospacing="1" w:after="100" w:afterAutospacing="1" w:line="240" w:lineRule="auto"/>
        <w:jc w:val="both"/>
        <w:rPr>
          <w:rFonts w:eastAsia="Times New Roman" w:cs="Times New Roman"/>
          <w:lang w:val="en-US"/>
        </w:rPr>
      </w:pPr>
      <w:proofErr w:type="spellStart"/>
      <w:r w:rsidRPr="00EE06A2">
        <w:rPr>
          <w:rFonts w:eastAsia="Times New Roman" w:cs="Times New Roman"/>
          <w:lang w:val="en-US"/>
        </w:rPr>
        <w:t>Податоците</w:t>
      </w:r>
      <w:proofErr w:type="spellEnd"/>
      <w:r w:rsidRPr="00EE06A2">
        <w:rPr>
          <w:rFonts w:eastAsia="Times New Roman" w:cs="Times New Roman"/>
          <w:lang w:val="en-US"/>
        </w:rPr>
        <w:t xml:space="preserve"> за 2023 и 2024 </w:t>
      </w:r>
      <w:proofErr w:type="spellStart"/>
      <w:r w:rsidRPr="00EE06A2">
        <w:rPr>
          <w:rFonts w:eastAsia="Times New Roman" w:cs="Times New Roman"/>
          <w:lang w:val="en-US"/>
        </w:rPr>
        <w:t>година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јасно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укажуваат</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загрижувачки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тренд</w:t>
      </w:r>
      <w:proofErr w:type="spellEnd"/>
      <w:r w:rsidRPr="00EE06A2">
        <w:rPr>
          <w:rFonts w:eastAsia="Times New Roman" w:cs="Times New Roman"/>
          <w:lang w:val="en-US"/>
        </w:rPr>
        <w:t xml:space="preserve">: </w:t>
      </w:r>
      <w:proofErr w:type="spellStart"/>
      <w:r w:rsidRPr="00EE06A2">
        <w:rPr>
          <w:rFonts w:eastAsia="Times New Roman" w:cs="Times New Roman"/>
          <w:lang w:val="en-US"/>
        </w:rPr>
        <w:t>зголемена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стапка</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молк</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особено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кај</w:t>
      </w:r>
      <w:proofErr w:type="spellEnd"/>
      <w:r w:rsidRPr="00EE06A2">
        <w:rPr>
          <w:rFonts w:eastAsia="Times New Roman" w:cs="Times New Roman"/>
          <w:lang w:val="en-US"/>
        </w:rPr>
        <w:t xml:space="preserve"> </w:t>
      </w:r>
      <w:proofErr w:type="spellStart"/>
      <w:r w:rsidRPr="00EE06A2">
        <w:rPr>
          <w:rFonts w:eastAsia="Times New Roman" w:cs="Times New Roman"/>
          <w:lang w:val="en-US"/>
        </w:rPr>
        <w:t>централните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институции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јавните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претпријатија</w:t>
      </w:r>
      <w:proofErr w:type="spellEnd"/>
      <w:r w:rsidRPr="00EE06A2">
        <w:rPr>
          <w:rFonts w:eastAsia="Times New Roman" w:cs="Times New Roman"/>
          <w:lang w:val="en-US"/>
        </w:rPr>
        <w:t xml:space="preserve"> и </w:t>
      </w:r>
      <w:r w:rsidRPr="00EE06A2">
        <w:rPr>
          <w:rFonts w:eastAsia="Times New Roman" w:cs="Times New Roman"/>
          <w:lang w:val="mk-MK"/>
        </w:rPr>
        <w:t>локалната самоуправа.</w:t>
      </w:r>
      <w:r w:rsidRPr="00EE06A2">
        <w:rPr>
          <w:rFonts w:eastAsia="Times New Roman" w:cs="Times New Roman"/>
          <w:lang w:val="en-US"/>
        </w:rPr>
        <w:t xml:space="preserve"> </w:t>
      </w:r>
      <w:proofErr w:type="spellStart"/>
      <w:r w:rsidRPr="00EE06A2">
        <w:rPr>
          <w:rFonts w:eastAsia="Times New Roman" w:cs="Times New Roman"/>
          <w:lang w:val="en-US"/>
        </w:rPr>
        <w:t>Овој</w:t>
      </w:r>
      <w:proofErr w:type="spellEnd"/>
      <w:r w:rsidRPr="00EE06A2">
        <w:rPr>
          <w:rFonts w:eastAsia="Times New Roman" w:cs="Times New Roman"/>
          <w:lang w:val="en-US"/>
        </w:rPr>
        <w:t xml:space="preserve"> </w:t>
      </w:r>
      <w:proofErr w:type="spellStart"/>
      <w:r w:rsidRPr="00EE06A2">
        <w:rPr>
          <w:rFonts w:eastAsia="Times New Roman" w:cs="Times New Roman"/>
          <w:lang w:val="en-US"/>
        </w:rPr>
        <w:t>молк</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само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што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го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нарушува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индивидуалното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право</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информирање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туку</w:t>
      </w:r>
      <w:proofErr w:type="spellEnd"/>
      <w:r w:rsidRPr="00EE06A2">
        <w:rPr>
          <w:rFonts w:eastAsia="Times New Roman" w:cs="Times New Roman"/>
          <w:lang w:val="en-US"/>
        </w:rPr>
        <w:t xml:space="preserve"> и </w:t>
      </w:r>
      <w:r w:rsidRPr="00EE06A2">
        <w:rPr>
          <w:rFonts w:eastAsia="Times New Roman" w:cs="Times New Roman"/>
          <w:lang w:val="mk-MK"/>
        </w:rPr>
        <w:t xml:space="preserve">ја </w:t>
      </w:r>
      <w:proofErr w:type="spellStart"/>
      <w:r w:rsidRPr="00EE06A2">
        <w:rPr>
          <w:rFonts w:eastAsia="Times New Roman" w:cs="Times New Roman"/>
          <w:lang w:val="en-US"/>
        </w:rPr>
        <w:t>поткопува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демократската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контрола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го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попречува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новинарството</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ги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блокира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напорите</w:t>
      </w:r>
      <w:proofErr w:type="spellEnd"/>
      <w:r w:rsidRPr="00EE06A2">
        <w:rPr>
          <w:rFonts w:eastAsia="Times New Roman" w:cs="Times New Roman"/>
          <w:lang w:val="en-US"/>
        </w:rPr>
        <w:t xml:space="preserve"> за </w:t>
      </w:r>
      <w:proofErr w:type="spellStart"/>
      <w:r w:rsidRPr="00EE06A2">
        <w:rPr>
          <w:rFonts w:eastAsia="Times New Roman" w:cs="Times New Roman"/>
          <w:lang w:val="en-US"/>
        </w:rPr>
        <w:t>спречување</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корупцијата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Особено</w:t>
      </w:r>
      <w:proofErr w:type="spellEnd"/>
      <w:r w:rsidRPr="00EE06A2">
        <w:rPr>
          <w:rFonts w:eastAsia="Times New Roman" w:cs="Times New Roman"/>
          <w:lang w:val="en-US"/>
        </w:rPr>
        <w:t xml:space="preserve"> е </w:t>
      </w:r>
      <w:proofErr w:type="spellStart"/>
      <w:r w:rsidRPr="00EE06A2">
        <w:rPr>
          <w:rFonts w:eastAsia="Times New Roman" w:cs="Times New Roman"/>
          <w:lang w:val="en-US"/>
        </w:rPr>
        <w:t>алармантен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феноменот</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селективен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одговор</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кој</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институциите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обидуваат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создадат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илузија</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транспарентност</w:t>
      </w:r>
      <w:proofErr w:type="spellEnd"/>
      <w:r w:rsidRPr="00EE06A2">
        <w:rPr>
          <w:rFonts w:eastAsia="Times New Roman" w:cs="Times New Roman"/>
          <w:lang w:val="en-US"/>
        </w:rPr>
        <w:t xml:space="preserve">, </w:t>
      </w:r>
      <w:proofErr w:type="spellStart"/>
      <w:r w:rsidRPr="00EE06A2">
        <w:rPr>
          <w:rFonts w:eastAsia="Times New Roman" w:cs="Times New Roman"/>
          <w:lang w:val="en-US"/>
        </w:rPr>
        <w:lastRenderedPageBreak/>
        <w:t>додека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вистински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чувствителните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информации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остануваат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затворени</w:t>
      </w:r>
      <w:proofErr w:type="spellEnd"/>
      <w:r w:rsidRPr="00EE06A2">
        <w:rPr>
          <w:rFonts w:eastAsia="Times New Roman" w:cs="Times New Roman"/>
          <w:lang w:val="en-US"/>
        </w:rPr>
        <w:t xml:space="preserve"> за </w:t>
      </w:r>
      <w:proofErr w:type="spellStart"/>
      <w:r w:rsidRPr="00EE06A2">
        <w:rPr>
          <w:rFonts w:eastAsia="Times New Roman" w:cs="Times New Roman"/>
          <w:lang w:val="en-US"/>
        </w:rPr>
        <w:t>јавноста</w:t>
      </w:r>
      <w:proofErr w:type="spellEnd"/>
      <w:r w:rsidRPr="00EE06A2">
        <w:rPr>
          <w:rFonts w:eastAsia="Times New Roman" w:cs="Times New Roman"/>
          <w:lang w:val="en-US"/>
        </w:rPr>
        <w:t>.</w:t>
      </w:r>
    </w:p>
    <w:p w14:paraId="7D3CE9A2" w14:textId="77777777" w:rsidR="00B33532" w:rsidRPr="00EE06A2" w:rsidRDefault="00B33532" w:rsidP="00B33532">
      <w:pPr>
        <w:spacing w:before="100" w:beforeAutospacing="1" w:after="100" w:afterAutospacing="1" w:line="240" w:lineRule="auto"/>
        <w:jc w:val="both"/>
        <w:rPr>
          <w:rFonts w:eastAsia="Times New Roman" w:cs="Times New Roman"/>
          <w:lang w:val="en-US"/>
        </w:rPr>
      </w:pPr>
      <w:proofErr w:type="spellStart"/>
      <w:r w:rsidRPr="00EE06A2">
        <w:rPr>
          <w:rFonts w:eastAsia="Times New Roman" w:cs="Times New Roman"/>
          <w:lang w:val="en-US"/>
        </w:rPr>
        <w:t>Анализата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исто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така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покажува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дека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постојат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добри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практики</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иницијативи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како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воведување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дигитални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платформи</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водење</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стратешки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судски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случаи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нивното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влијание</w:t>
      </w:r>
      <w:proofErr w:type="spellEnd"/>
      <w:r w:rsidRPr="00EE06A2">
        <w:rPr>
          <w:rFonts w:eastAsia="Times New Roman" w:cs="Times New Roman"/>
          <w:lang w:val="en-US"/>
        </w:rPr>
        <w:t xml:space="preserve"> е </w:t>
      </w:r>
      <w:proofErr w:type="spellStart"/>
      <w:r w:rsidRPr="00EE06A2">
        <w:rPr>
          <w:rFonts w:eastAsia="Times New Roman" w:cs="Times New Roman"/>
          <w:lang w:val="en-US"/>
        </w:rPr>
        <w:t>ограничено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без</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структурни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промени</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поддршка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од</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клучните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актери</w:t>
      </w:r>
      <w:proofErr w:type="spellEnd"/>
      <w:r w:rsidRPr="00EE06A2">
        <w:rPr>
          <w:rFonts w:eastAsia="Times New Roman" w:cs="Times New Roman"/>
          <w:lang w:val="en-US"/>
        </w:rPr>
        <w:t xml:space="preserve"> – </w:t>
      </w:r>
      <w:proofErr w:type="spellStart"/>
      <w:r w:rsidRPr="00EE06A2">
        <w:rPr>
          <w:rFonts w:eastAsia="Times New Roman" w:cs="Times New Roman"/>
          <w:lang w:val="en-US"/>
        </w:rPr>
        <w:t>администрацијата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судството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медиумите</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граѓанското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општество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Судовите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играат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потенцијално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клучна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улога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соочуваат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ограничувања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поврзани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бавност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неунифицираност</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слаба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извршност</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одлуките</w:t>
      </w:r>
      <w:proofErr w:type="spellEnd"/>
      <w:r w:rsidRPr="00EE06A2">
        <w:rPr>
          <w:rFonts w:eastAsia="Times New Roman" w:cs="Times New Roman"/>
          <w:lang w:val="en-US"/>
        </w:rPr>
        <w:t>.</w:t>
      </w:r>
      <w:r w:rsidRPr="00EE06A2">
        <w:rPr>
          <w:rFonts w:eastAsia="Times New Roman" w:cs="Times New Roman"/>
          <w:lang w:val="mk-MK"/>
        </w:rPr>
        <w:t xml:space="preserve"> Во о</w:t>
      </w:r>
      <w:proofErr w:type="spellStart"/>
      <w:r w:rsidRPr="00EE06A2">
        <w:rPr>
          <w:rFonts w:eastAsia="Times New Roman" w:cs="Times New Roman"/>
          <w:lang w:val="en-US"/>
        </w:rPr>
        <w:t>тсуството</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ефективни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механизми</w:t>
      </w:r>
      <w:proofErr w:type="spellEnd"/>
      <w:r w:rsidRPr="00EE06A2">
        <w:rPr>
          <w:rFonts w:eastAsia="Times New Roman" w:cs="Times New Roman"/>
          <w:lang w:val="en-US"/>
        </w:rPr>
        <w:t xml:space="preserve"> за </w:t>
      </w:r>
      <w:proofErr w:type="spellStart"/>
      <w:r w:rsidRPr="00EE06A2">
        <w:rPr>
          <w:rFonts w:eastAsia="Times New Roman" w:cs="Times New Roman"/>
          <w:lang w:val="en-US"/>
        </w:rPr>
        <w:t>санкционирање</w:t>
      </w:r>
      <w:proofErr w:type="spellEnd"/>
      <w:r w:rsidRPr="00EE06A2">
        <w:rPr>
          <w:rFonts w:eastAsia="Times New Roman" w:cs="Times New Roman"/>
          <w:lang w:val="mk-MK"/>
        </w:rPr>
        <w:t>, се</w:t>
      </w:r>
      <w:r w:rsidRPr="00EE06A2">
        <w:rPr>
          <w:rFonts w:eastAsia="Times New Roman" w:cs="Times New Roman"/>
          <w:lang w:val="en-US"/>
        </w:rPr>
        <w:t xml:space="preserve"> </w:t>
      </w:r>
      <w:proofErr w:type="spellStart"/>
      <w:r w:rsidRPr="00EE06A2">
        <w:rPr>
          <w:rFonts w:eastAsia="Times New Roman" w:cs="Times New Roman"/>
          <w:lang w:val="en-US"/>
        </w:rPr>
        <w:t>создава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амбиент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каде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молк</w:t>
      </w:r>
      <w:proofErr w:type="spellEnd"/>
      <w:r w:rsidRPr="00EE06A2">
        <w:rPr>
          <w:rFonts w:eastAsia="Times New Roman" w:cs="Times New Roman"/>
          <w:lang w:val="mk-MK"/>
        </w:rPr>
        <w:t>от на администрацијата</w:t>
      </w:r>
      <w:r w:rsidRPr="00EE06A2">
        <w:rPr>
          <w:rFonts w:eastAsia="Times New Roman" w:cs="Times New Roman"/>
          <w:lang w:val="en-US"/>
        </w:rPr>
        <w:t xml:space="preserve"> </w:t>
      </w:r>
      <w:proofErr w:type="spellStart"/>
      <w:r w:rsidRPr="00EE06A2">
        <w:rPr>
          <w:rFonts w:eastAsia="Times New Roman" w:cs="Times New Roman"/>
          <w:lang w:val="en-US"/>
        </w:rPr>
        <w:t>станува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нормал</w:t>
      </w:r>
      <w:proofErr w:type="spellEnd"/>
      <w:r w:rsidRPr="00EE06A2">
        <w:rPr>
          <w:rFonts w:eastAsia="Times New Roman" w:cs="Times New Roman"/>
          <w:lang w:val="mk-MK"/>
        </w:rPr>
        <w:t>на пракса</w:t>
      </w:r>
      <w:r w:rsidRPr="00EE06A2">
        <w:rPr>
          <w:rFonts w:eastAsia="Times New Roman" w:cs="Times New Roman"/>
          <w:lang w:val="en-US"/>
        </w:rPr>
        <w:t>.</w:t>
      </w:r>
    </w:p>
    <w:p w14:paraId="24DBD594" w14:textId="77777777" w:rsidR="00B33532" w:rsidRPr="00EE06A2" w:rsidRDefault="00B33532" w:rsidP="00B33532">
      <w:pPr>
        <w:spacing w:before="100" w:beforeAutospacing="1" w:after="100" w:afterAutospacing="1" w:line="240" w:lineRule="auto"/>
        <w:jc w:val="both"/>
        <w:rPr>
          <w:rFonts w:eastAsia="Times New Roman" w:cs="Times New Roman"/>
          <w:lang w:val="en-US"/>
        </w:rPr>
      </w:pPr>
      <w:proofErr w:type="spellStart"/>
      <w:r w:rsidRPr="00EE06A2">
        <w:rPr>
          <w:rFonts w:eastAsia="Times New Roman" w:cs="Times New Roman"/>
          <w:lang w:val="en-US"/>
        </w:rPr>
        <w:t>Долгорочната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цена</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овој</w:t>
      </w:r>
      <w:proofErr w:type="spellEnd"/>
      <w:r w:rsidRPr="00EE06A2">
        <w:rPr>
          <w:rFonts w:eastAsia="Times New Roman" w:cs="Times New Roman"/>
          <w:lang w:val="en-US"/>
        </w:rPr>
        <w:t xml:space="preserve"> </w:t>
      </w:r>
      <w:proofErr w:type="spellStart"/>
      <w:r w:rsidRPr="00EE06A2">
        <w:rPr>
          <w:rFonts w:eastAsia="Times New Roman" w:cs="Times New Roman"/>
          <w:lang w:val="en-US"/>
        </w:rPr>
        <w:t>молк</w:t>
      </w:r>
      <w:proofErr w:type="spellEnd"/>
      <w:r w:rsidRPr="00EE06A2">
        <w:rPr>
          <w:rFonts w:eastAsia="Times New Roman" w:cs="Times New Roman"/>
          <w:lang w:val="en-US"/>
        </w:rPr>
        <w:t xml:space="preserve"> е </w:t>
      </w:r>
      <w:proofErr w:type="spellStart"/>
      <w:r w:rsidRPr="00EE06A2">
        <w:rPr>
          <w:rFonts w:eastAsia="Times New Roman" w:cs="Times New Roman"/>
          <w:lang w:val="en-US"/>
        </w:rPr>
        <w:t>висока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губи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довербата</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граѓаните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одвраќаат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медиумите</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истражувачите</w:t>
      </w:r>
      <w:proofErr w:type="spellEnd"/>
      <w:r w:rsidRPr="00EE06A2">
        <w:rPr>
          <w:rFonts w:eastAsia="Times New Roman" w:cs="Times New Roman"/>
          <w:lang w:val="en-US"/>
        </w:rPr>
        <w:t xml:space="preserve">, а </w:t>
      </w:r>
      <w:proofErr w:type="spellStart"/>
      <w:r w:rsidRPr="00EE06A2">
        <w:rPr>
          <w:rFonts w:eastAsia="Times New Roman" w:cs="Times New Roman"/>
          <w:lang w:val="en-US"/>
        </w:rPr>
        <w:t>демократскиот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капацитет</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општествата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останува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слаб</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Доколку</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оваа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состојба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продолжи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постои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ризик</w:t>
      </w:r>
      <w:proofErr w:type="spellEnd"/>
      <w:r w:rsidRPr="00EE06A2">
        <w:rPr>
          <w:rFonts w:eastAsia="Times New Roman" w:cs="Times New Roman"/>
          <w:lang w:val="en-US"/>
        </w:rPr>
        <w:t xml:space="preserve"> </w:t>
      </w:r>
      <w:proofErr w:type="spellStart"/>
      <w:r w:rsidRPr="00EE06A2">
        <w:rPr>
          <w:rFonts w:eastAsia="Times New Roman" w:cs="Times New Roman"/>
          <w:lang w:val="en-US"/>
        </w:rPr>
        <w:t>Западен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Балкан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остане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заглавен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во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циклична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неефикасност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каде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што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формалната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транспарентност</w:t>
      </w:r>
      <w:proofErr w:type="spellEnd"/>
      <w:r w:rsidRPr="00EE06A2">
        <w:rPr>
          <w:rFonts w:eastAsia="Times New Roman" w:cs="Times New Roman"/>
          <w:lang w:val="en-US"/>
        </w:rPr>
        <w:t xml:space="preserve"> </w:t>
      </w:r>
      <w:r w:rsidRPr="00EE06A2">
        <w:rPr>
          <w:rFonts w:eastAsia="Times New Roman" w:cs="Times New Roman"/>
          <w:lang w:val="mk-MK"/>
        </w:rPr>
        <w:t xml:space="preserve">ќе </w:t>
      </w:r>
      <w:proofErr w:type="spellStart"/>
      <w:r w:rsidRPr="00EE06A2">
        <w:rPr>
          <w:rFonts w:eastAsia="Times New Roman" w:cs="Times New Roman"/>
          <w:lang w:val="en-US"/>
        </w:rPr>
        <w:t>служи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како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параван</w:t>
      </w:r>
      <w:proofErr w:type="spellEnd"/>
      <w:r w:rsidRPr="00EE06A2">
        <w:rPr>
          <w:rFonts w:eastAsia="Times New Roman" w:cs="Times New Roman"/>
          <w:lang w:val="en-US"/>
        </w:rPr>
        <w:t xml:space="preserve"> за </w:t>
      </w:r>
      <w:proofErr w:type="spellStart"/>
      <w:r w:rsidRPr="00EE06A2">
        <w:rPr>
          <w:rFonts w:eastAsia="Times New Roman" w:cs="Times New Roman"/>
          <w:lang w:val="en-US"/>
        </w:rPr>
        <w:t>институционална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затвореност</w:t>
      </w:r>
      <w:proofErr w:type="spellEnd"/>
      <w:r w:rsidRPr="00EE06A2">
        <w:rPr>
          <w:rFonts w:eastAsia="Times New Roman" w:cs="Times New Roman"/>
          <w:lang w:val="en-US"/>
        </w:rPr>
        <w:t>.</w:t>
      </w:r>
    </w:p>
    <w:p w14:paraId="3F926257" w14:textId="561FF824" w:rsidR="00F44D99" w:rsidRPr="00F44D99" w:rsidRDefault="00B33532" w:rsidP="00B33532">
      <w:pPr>
        <w:spacing w:before="100" w:beforeAutospacing="1" w:after="100" w:afterAutospacing="1" w:line="240" w:lineRule="auto"/>
        <w:jc w:val="both"/>
        <w:rPr>
          <w:rFonts w:eastAsia="Times New Roman" w:cs="Times New Roman"/>
          <w:lang w:val="mk-MK"/>
        </w:rPr>
      </w:pPr>
      <w:proofErr w:type="spellStart"/>
      <w:r w:rsidRPr="00EE06A2">
        <w:rPr>
          <w:rFonts w:eastAsia="Times New Roman" w:cs="Times New Roman"/>
          <w:lang w:val="en-US"/>
        </w:rPr>
        <w:t>Решението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w:t>
      </w:r>
      <w:proofErr w:type="spellEnd"/>
      <w:r w:rsidRPr="00EE06A2">
        <w:rPr>
          <w:rFonts w:eastAsia="Times New Roman" w:cs="Times New Roman"/>
          <w:lang w:val="en-US"/>
        </w:rPr>
        <w:t xml:space="preserve"> е </w:t>
      </w:r>
      <w:proofErr w:type="spellStart"/>
      <w:r w:rsidRPr="00EE06A2">
        <w:rPr>
          <w:rFonts w:eastAsia="Times New Roman" w:cs="Times New Roman"/>
          <w:lang w:val="en-US"/>
        </w:rPr>
        <w:t>едноставно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но</w:t>
      </w:r>
      <w:proofErr w:type="spellEnd"/>
      <w:r w:rsidRPr="00EE06A2">
        <w:rPr>
          <w:rFonts w:eastAsia="Times New Roman" w:cs="Times New Roman"/>
          <w:lang w:val="en-US"/>
        </w:rPr>
        <w:t xml:space="preserve"> е </w:t>
      </w:r>
      <w:proofErr w:type="spellStart"/>
      <w:r w:rsidRPr="00EE06A2">
        <w:rPr>
          <w:rFonts w:eastAsia="Times New Roman" w:cs="Times New Roman"/>
          <w:lang w:val="en-US"/>
        </w:rPr>
        <w:t>возможно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Тоа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бара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премин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од</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декларативна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кон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суштинска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транспарентност</w:t>
      </w:r>
      <w:proofErr w:type="spellEnd"/>
      <w:r w:rsidRPr="00EE06A2">
        <w:rPr>
          <w:rFonts w:eastAsia="Times New Roman" w:cs="Times New Roman"/>
          <w:lang w:val="en-US"/>
        </w:rPr>
        <w:t xml:space="preserve"> – </w:t>
      </w:r>
      <w:proofErr w:type="spellStart"/>
      <w:r w:rsidRPr="00EE06A2">
        <w:rPr>
          <w:rFonts w:eastAsia="Times New Roman" w:cs="Times New Roman"/>
          <w:lang w:val="en-US"/>
        </w:rPr>
        <w:t>од</w:t>
      </w:r>
      <w:proofErr w:type="spellEnd"/>
      <w:r w:rsidRPr="00EE06A2">
        <w:rPr>
          <w:rFonts w:eastAsia="Times New Roman" w:cs="Times New Roman"/>
          <w:lang w:val="en-US"/>
        </w:rPr>
        <w:t xml:space="preserve"> </w:t>
      </w:r>
      <w:proofErr w:type="spellStart"/>
      <w:r w:rsidRPr="00EE06A2">
        <w:rPr>
          <w:rFonts w:eastAsia="Times New Roman" w:cs="Times New Roman"/>
          <w:lang w:val="en-US"/>
        </w:rPr>
        <w:t>формални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обврски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кон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реална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отчетност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Препораките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понудени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во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оваа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анализа</w:t>
      </w:r>
      <w:proofErr w:type="spellEnd"/>
      <w:r w:rsidRPr="00EE06A2">
        <w:rPr>
          <w:rFonts w:eastAsia="Times New Roman" w:cs="Times New Roman"/>
          <w:lang w:val="en-US"/>
        </w:rPr>
        <w:t xml:space="preserve"> – </w:t>
      </w:r>
      <w:proofErr w:type="spellStart"/>
      <w:r w:rsidRPr="00EE06A2">
        <w:rPr>
          <w:rFonts w:eastAsia="Times New Roman" w:cs="Times New Roman"/>
          <w:lang w:val="en-US"/>
        </w:rPr>
        <w:t>вклучително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воведување</w:t>
      </w:r>
      <w:proofErr w:type="spellEnd"/>
      <w:r w:rsidRPr="00EE06A2">
        <w:rPr>
          <w:rFonts w:eastAsia="Times New Roman" w:cs="Times New Roman"/>
          <w:lang w:val="mk-MK"/>
        </w:rPr>
        <w:t>то на</w:t>
      </w:r>
      <w:r w:rsidRPr="00EE06A2">
        <w:rPr>
          <w:rFonts w:eastAsia="Times New Roman" w:cs="Times New Roman"/>
          <w:lang w:val="en-US"/>
        </w:rPr>
        <w:t xml:space="preserve"> </w:t>
      </w:r>
      <w:proofErr w:type="spellStart"/>
      <w:r w:rsidRPr="00EE06A2">
        <w:rPr>
          <w:rFonts w:eastAsia="Times New Roman" w:cs="Times New Roman"/>
          <w:lang w:val="en-US"/>
        </w:rPr>
        <w:t>обврска</w:t>
      </w:r>
      <w:proofErr w:type="spellEnd"/>
      <w:r w:rsidRPr="00EE06A2">
        <w:rPr>
          <w:rFonts w:eastAsia="Times New Roman" w:cs="Times New Roman"/>
          <w:lang w:val="en-US"/>
        </w:rPr>
        <w:t xml:space="preserve"> за </w:t>
      </w:r>
      <w:proofErr w:type="spellStart"/>
      <w:r w:rsidRPr="00EE06A2">
        <w:rPr>
          <w:rFonts w:eastAsia="Times New Roman" w:cs="Times New Roman"/>
          <w:lang w:val="en-US"/>
        </w:rPr>
        <w:t>писмен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одговор</w:t>
      </w:r>
      <w:proofErr w:type="spellEnd"/>
      <w:r w:rsidRPr="00EE06A2">
        <w:rPr>
          <w:rFonts w:eastAsia="Times New Roman" w:cs="Times New Roman"/>
          <w:lang w:val="en-US"/>
        </w:rPr>
        <w:t xml:space="preserve">, </w:t>
      </w:r>
      <w:proofErr w:type="spellStart"/>
      <w:r w:rsidRPr="00EE06A2">
        <w:rPr>
          <w:rFonts w:eastAsia="Times New Roman" w:cs="Times New Roman"/>
          <w:lang w:val="en-US"/>
        </w:rPr>
        <w:t>јакнење</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надзорните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тела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дигитализација</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процедурите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дисциплинска</w:t>
      </w:r>
      <w:proofErr w:type="spellEnd"/>
      <w:r w:rsidRPr="00EE06A2">
        <w:rPr>
          <w:rFonts w:eastAsia="Times New Roman" w:cs="Times New Roman"/>
          <w:lang w:val="mk-MK"/>
        </w:rPr>
        <w:t>та</w:t>
      </w:r>
      <w:r w:rsidRPr="00EE06A2">
        <w:rPr>
          <w:rFonts w:eastAsia="Times New Roman" w:cs="Times New Roman"/>
          <w:lang w:val="en-US"/>
        </w:rPr>
        <w:t xml:space="preserve"> </w:t>
      </w:r>
      <w:proofErr w:type="spellStart"/>
      <w:r w:rsidRPr="00EE06A2">
        <w:rPr>
          <w:rFonts w:eastAsia="Times New Roman" w:cs="Times New Roman"/>
          <w:lang w:val="en-US"/>
        </w:rPr>
        <w:t>одговорност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стратешко</w:t>
      </w:r>
      <w:proofErr w:type="spellEnd"/>
      <w:r w:rsidRPr="00EE06A2">
        <w:rPr>
          <w:rFonts w:eastAsia="Times New Roman" w:cs="Times New Roman"/>
          <w:lang w:val="mk-MK"/>
        </w:rPr>
        <w:t>то</w:t>
      </w:r>
      <w:r w:rsidRPr="00EE06A2">
        <w:rPr>
          <w:rFonts w:eastAsia="Times New Roman" w:cs="Times New Roman"/>
          <w:lang w:val="en-US"/>
        </w:rPr>
        <w:t xml:space="preserve"> </w:t>
      </w:r>
      <w:proofErr w:type="spellStart"/>
      <w:r w:rsidRPr="00EE06A2">
        <w:rPr>
          <w:rFonts w:eastAsia="Times New Roman" w:cs="Times New Roman"/>
          <w:lang w:val="en-US"/>
        </w:rPr>
        <w:t>судско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дејствување</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регионална</w:t>
      </w:r>
      <w:proofErr w:type="spellEnd"/>
      <w:r w:rsidRPr="00EE06A2">
        <w:rPr>
          <w:rFonts w:eastAsia="Times New Roman" w:cs="Times New Roman"/>
          <w:lang w:val="mk-MK"/>
        </w:rPr>
        <w:t>та</w:t>
      </w:r>
      <w:r w:rsidRPr="00EE06A2">
        <w:rPr>
          <w:rFonts w:eastAsia="Times New Roman" w:cs="Times New Roman"/>
          <w:lang w:val="en-US"/>
        </w:rPr>
        <w:t xml:space="preserve"> </w:t>
      </w:r>
      <w:proofErr w:type="spellStart"/>
      <w:r w:rsidRPr="00EE06A2">
        <w:rPr>
          <w:rFonts w:eastAsia="Times New Roman" w:cs="Times New Roman"/>
          <w:lang w:val="en-US"/>
        </w:rPr>
        <w:t>соработка</w:t>
      </w:r>
      <w:proofErr w:type="spellEnd"/>
      <w:r w:rsidRPr="00EE06A2">
        <w:rPr>
          <w:rFonts w:eastAsia="Times New Roman" w:cs="Times New Roman"/>
          <w:lang w:val="en-US"/>
        </w:rPr>
        <w:t xml:space="preserve"> – </w:t>
      </w:r>
      <w:proofErr w:type="spellStart"/>
      <w:r w:rsidRPr="00EE06A2">
        <w:rPr>
          <w:rFonts w:eastAsia="Times New Roman" w:cs="Times New Roman"/>
          <w:lang w:val="en-US"/>
        </w:rPr>
        <w:t>претставуваат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сет</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комплементарни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мерки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кои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ако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применат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доследно</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со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поддршка</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меѓународната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заедница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можат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значително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го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подобрат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спроведувањето</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правото</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информирање</w:t>
      </w:r>
      <w:proofErr w:type="spellEnd"/>
      <w:r w:rsidRPr="00EE06A2">
        <w:rPr>
          <w:rFonts w:eastAsia="Times New Roman" w:cs="Times New Roman"/>
          <w:lang w:val="en-US"/>
        </w:rPr>
        <w:t>.</w:t>
      </w:r>
    </w:p>
    <w:p w14:paraId="5A8758D8" w14:textId="058FAE22" w:rsidR="005919F4" w:rsidRPr="005919F4" w:rsidRDefault="00B33532" w:rsidP="00B33532">
      <w:pPr>
        <w:spacing w:before="100" w:beforeAutospacing="1" w:after="100" w:afterAutospacing="1" w:line="240" w:lineRule="auto"/>
        <w:jc w:val="both"/>
        <w:rPr>
          <w:rFonts w:eastAsia="Times New Roman" w:cs="Times New Roman"/>
          <w:lang w:val="en-US"/>
        </w:rPr>
      </w:pPr>
      <w:proofErr w:type="spellStart"/>
      <w:r w:rsidRPr="00EE06A2">
        <w:rPr>
          <w:rFonts w:eastAsia="Times New Roman" w:cs="Times New Roman"/>
          <w:lang w:val="en-US"/>
        </w:rPr>
        <w:t>Во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крајна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линија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прашањето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не</w:t>
      </w:r>
      <w:proofErr w:type="spellEnd"/>
      <w:r w:rsidRPr="00EE06A2">
        <w:rPr>
          <w:rFonts w:eastAsia="Times New Roman" w:cs="Times New Roman"/>
          <w:lang w:val="en-US"/>
        </w:rPr>
        <w:t xml:space="preserve"> е </w:t>
      </w:r>
      <w:proofErr w:type="spellStart"/>
      <w:r w:rsidRPr="00EE06A2">
        <w:rPr>
          <w:rFonts w:eastAsia="Times New Roman" w:cs="Times New Roman"/>
          <w:lang w:val="en-US"/>
        </w:rPr>
        <w:t>само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дали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институциите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ќе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одговорат</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барањата</w:t>
      </w:r>
      <w:proofErr w:type="spellEnd"/>
      <w:r w:rsidRPr="00EE06A2">
        <w:rPr>
          <w:rFonts w:eastAsia="Times New Roman" w:cs="Times New Roman"/>
          <w:lang w:val="en-US"/>
        </w:rPr>
        <w:t xml:space="preserve"> за </w:t>
      </w:r>
      <w:proofErr w:type="spellStart"/>
      <w:r w:rsidRPr="00EE06A2">
        <w:rPr>
          <w:rFonts w:eastAsia="Times New Roman" w:cs="Times New Roman"/>
          <w:lang w:val="en-US"/>
        </w:rPr>
        <w:t>информации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туку</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дали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демократијата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ќе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функционира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како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жива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практика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или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ќе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остане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заглавена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во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бирократски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формализам</w:t>
      </w:r>
      <w:proofErr w:type="spellEnd"/>
      <w:r w:rsidRPr="00EE06A2">
        <w:rPr>
          <w:rFonts w:eastAsia="Times New Roman" w:cs="Times New Roman"/>
          <w:lang w:val="en-US"/>
        </w:rPr>
        <w:t xml:space="preserve">. </w:t>
      </w:r>
      <w:proofErr w:type="spellStart"/>
      <w:r w:rsidRPr="00EE06A2">
        <w:rPr>
          <w:rFonts w:eastAsia="Times New Roman" w:cs="Times New Roman"/>
          <w:lang w:val="en-US"/>
        </w:rPr>
        <w:t>Слободниот</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пристап</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информации</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од</w:t>
      </w:r>
      <w:proofErr w:type="spellEnd"/>
      <w:r w:rsidRPr="00EE06A2">
        <w:rPr>
          <w:rFonts w:eastAsia="Times New Roman" w:cs="Times New Roman"/>
          <w:lang w:val="en-US"/>
        </w:rPr>
        <w:t xml:space="preserve"> </w:t>
      </w:r>
      <w:proofErr w:type="spellStart"/>
      <w:r w:rsidRPr="00EE06A2">
        <w:rPr>
          <w:rFonts w:eastAsia="Times New Roman" w:cs="Times New Roman"/>
          <w:lang w:val="en-US"/>
        </w:rPr>
        <w:t>јавен</w:t>
      </w:r>
      <w:proofErr w:type="spellEnd"/>
      <w:r w:rsidRPr="00EE06A2">
        <w:rPr>
          <w:rFonts w:eastAsia="Times New Roman" w:cs="Times New Roman"/>
          <w:lang w:val="en-US"/>
        </w:rPr>
        <w:t xml:space="preserve"> </w:t>
      </w:r>
      <w:proofErr w:type="spellStart"/>
      <w:r w:rsidRPr="00EE06A2">
        <w:rPr>
          <w:rFonts w:eastAsia="Times New Roman" w:cs="Times New Roman"/>
          <w:lang w:val="en-US"/>
        </w:rPr>
        <w:t>карактер</w:t>
      </w:r>
      <w:proofErr w:type="spellEnd"/>
      <w:r w:rsidRPr="00EE06A2">
        <w:rPr>
          <w:rFonts w:eastAsia="Times New Roman" w:cs="Times New Roman"/>
          <w:lang w:val="en-US"/>
        </w:rPr>
        <w:t xml:space="preserve"> е </w:t>
      </w:r>
      <w:proofErr w:type="spellStart"/>
      <w:r w:rsidRPr="00EE06A2">
        <w:rPr>
          <w:rFonts w:eastAsia="Times New Roman" w:cs="Times New Roman"/>
          <w:lang w:val="en-US"/>
        </w:rPr>
        <w:t>повеќе</w:t>
      </w:r>
      <w:proofErr w:type="spellEnd"/>
      <w:r w:rsidRPr="00EE06A2">
        <w:rPr>
          <w:rFonts w:eastAsia="Times New Roman" w:cs="Times New Roman"/>
          <w:lang w:val="en-US"/>
        </w:rPr>
        <w:t xml:space="preserve"> </w:t>
      </w:r>
      <w:proofErr w:type="spellStart"/>
      <w:r w:rsidRPr="00EE06A2">
        <w:rPr>
          <w:rFonts w:eastAsia="Times New Roman" w:cs="Times New Roman"/>
          <w:lang w:val="en-US"/>
        </w:rPr>
        <w:t>од</w:t>
      </w:r>
      <w:proofErr w:type="spellEnd"/>
      <w:r w:rsidRPr="00EE06A2">
        <w:rPr>
          <w:rFonts w:eastAsia="Times New Roman" w:cs="Times New Roman"/>
          <w:lang w:val="en-US"/>
        </w:rPr>
        <w:t xml:space="preserve"> </w:t>
      </w:r>
      <w:proofErr w:type="spellStart"/>
      <w:r w:rsidRPr="00EE06A2">
        <w:rPr>
          <w:rFonts w:eastAsia="Times New Roman" w:cs="Times New Roman"/>
          <w:lang w:val="en-US"/>
        </w:rPr>
        <w:t>административна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постапка</w:t>
      </w:r>
      <w:proofErr w:type="spellEnd"/>
      <w:r w:rsidRPr="00EE06A2">
        <w:rPr>
          <w:rFonts w:eastAsia="Times New Roman" w:cs="Times New Roman"/>
          <w:lang w:val="en-US"/>
        </w:rPr>
        <w:t xml:space="preserve"> – </w:t>
      </w:r>
      <w:proofErr w:type="spellStart"/>
      <w:r w:rsidRPr="00EE06A2">
        <w:rPr>
          <w:rFonts w:eastAsia="Times New Roman" w:cs="Times New Roman"/>
          <w:lang w:val="en-US"/>
        </w:rPr>
        <w:t>тоа</w:t>
      </w:r>
      <w:proofErr w:type="spellEnd"/>
      <w:r w:rsidRPr="00EE06A2">
        <w:rPr>
          <w:rFonts w:eastAsia="Times New Roman" w:cs="Times New Roman"/>
          <w:lang w:val="en-US"/>
        </w:rPr>
        <w:t xml:space="preserve"> е </w:t>
      </w:r>
      <w:proofErr w:type="spellStart"/>
      <w:r w:rsidRPr="00EE06A2">
        <w:rPr>
          <w:rFonts w:eastAsia="Times New Roman" w:cs="Times New Roman"/>
          <w:lang w:val="en-US"/>
        </w:rPr>
        <w:t>прашање</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владеење</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правото</w:t>
      </w:r>
      <w:proofErr w:type="spellEnd"/>
      <w:r w:rsidRPr="00EE06A2">
        <w:rPr>
          <w:rFonts w:eastAsia="Times New Roman" w:cs="Times New Roman"/>
          <w:lang w:val="en-US"/>
        </w:rPr>
        <w:t xml:space="preserve">, </w:t>
      </w:r>
      <w:proofErr w:type="spellStart"/>
      <w:r w:rsidRPr="00EE06A2">
        <w:rPr>
          <w:rFonts w:eastAsia="Times New Roman" w:cs="Times New Roman"/>
          <w:lang w:val="en-US"/>
        </w:rPr>
        <w:t>доверба</w:t>
      </w:r>
      <w:proofErr w:type="spellEnd"/>
      <w:r w:rsidRPr="00EE06A2">
        <w:rPr>
          <w:rFonts w:eastAsia="Times New Roman" w:cs="Times New Roman"/>
          <w:lang w:val="en-US"/>
        </w:rPr>
        <w:t xml:space="preserve"> и </w:t>
      </w:r>
      <w:proofErr w:type="spellStart"/>
      <w:r w:rsidRPr="00EE06A2">
        <w:rPr>
          <w:rFonts w:eastAsia="Times New Roman" w:cs="Times New Roman"/>
          <w:lang w:val="en-US"/>
        </w:rPr>
        <w:t>интегритет</w:t>
      </w:r>
      <w:proofErr w:type="spellEnd"/>
      <w:r w:rsidRPr="00EE06A2">
        <w:rPr>
          <w:rFonts w:eastAsia="Times New Roman" w:cs="Times New Roman"/>
          <w:lang w:val="en-US"/>
        </w:rPr>
        <w:t xml:space="preserve"> на </w:t>
      </w:r>
      <w:proofErr w:type="spellStart"/>
      <w:r w:rsidRPr="00EE06A2">
        <w:rPr>
          <w:rFonts w:eastAsia="Times New Roman" w:cs="Times New Roman"/>
          <w:lang w:val="en-US"/>
        </w:rPr>
        <w:t>јавната</w:t>
      </w:r>
      <w:proofErr w:type="spellEnd"/>
      <w:r w:rsidRPr="00EE06A2">
        <w:rPr>
          <w:rFonts w:eastAsia="Times New Roman" w:cs="Times New Roman"/>
          <w:lang w:val="en-US"/>
        </w:rPr>
        <w:t xml:space="preserve"> </w:t>
      </w:r>
      <w:proofErr w:type="spellStart"/>
      <w:r w:rsidRPr="00EE06A2">
        <w:rPr>
          <w:rFonts w:eastAsia="Times New Roman" w:cs="Times New Roman"/>
          <w:lang w:val="en-US"/>
        </w:rPr>
        <w:t>власт</w:t>
      </w:r>
      <w:proofErr w:type="spellEnd"/>
      <w:r w:rsidRPr="00EE06A2">
        <w:rPr>
          <w:rFonts w:eastAsia="Times New Roman" w:cs="Times New Roman"/>
          <w:lang w:val="en-US"/>
        </w:rPr>
        <w:t>.</w:t>
      </w:r>
    </w:p>
    <w:p w14:paraId="275A9095" w14:textId="77777777" w:rsidR="005919F4" w:rsidRDefault="005919F4" w:rsidP="00B33532">
      <w:pPr>
        <w:rPr>
          <w:b/>
          <w:bCs/>
          <w:sz w:val="20"/>
          <w:szCs w:val="20"/>
          <w:lang w:val="mk-MK"/>
        </w:rPr>
      </w:pPr>
    </w:p>
    <w:p w14:paraId="0249DF9E" w14:textId="688DEA18" w:rsidR="007C2042" w:rsidRPr="005919F4" w:rsidRDefault="005919F4" w:rsidP="00B33532">
      <w:pPr>
        <w:rPr>
          <w:b/>
          <w:bCs/>
          <w:sz w:val="20"/>
          <w:szCs w:val="20"/>
          <w:lang w:val="mk-MK"/>
        </w:rPr>
      </w:pPr>
      <w:r w:rsidRPr="005919F4">
        <w:rPr>
          <w:b/>
          <w:bCs/>
          <w:sz w:val="20"/>
          <w:szCs w:val="20"/>
          <w:lang w:val="mk-MK"/>
        </w:rPr>
        <w:t>Подготвил</w:t>
      </w:r>
      <w:r w:rsidR="003B3C76" w:rsidRPr="005919F4">
        <w:rPr>
          <w:b/>
          <w:bCs/>
          <w:sz w:val="20"/>
          <w:szCs w:val="20"/>
          <w:lang w:val="mk-MK"/>
        </w:rPr>
        <w:t>:</w:t>
      </w:r>
    </w:p>
    <w:p w14:paraId="6F06AE16" w14:textId="5E837D6B" w:rsidR="003B3C76" w:rsidRPr="005919F4" w:rsidRDefault="003B3C76" w:rsidP="00B33532">
      <w:pPr>
        <w:rPr>
          <w:b/>
          <w:bCs/>
          <w:sz w:val="20"/>
          <w:szCs w:val="20"/>
          <w:lang w:val="mk-MK"/>
        </w:rPr>
      </w:pPr>
      <w:r w:rsidRPr="005919F4">
        <w:rPr>
          <w:b/>
          <w:bCs/>
          <w:sz w:val="20"/>
          <w:szCs w:val="20"/>
          <w:lang w:val="mk-MK"/>
        </w:rPr>
        <w:t>Оливер Серафимовски</w:t>
      </w:r>
    </w:p>
    <w:sectPr w:rsidR="003B3C76" w:rsidRPr="005919F4" w:rsidSect="002574DF">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3FE5" w14:textId="77777777" w:rsidR="00885A35" w:rsidRDefault="00885A35" w:rsidP="00B33532">
      <w:pPr>
        <w:spacing w:after="0" w:line="240" w:lineRule="auto"/>
      </w:pPr>
      <w:r>
        <w:separator/>
      </w:r>
    </w:p>
  </w:endnote>
  <w:endnote w:type="continuationSeparator" w:id="0">
    <w:p w14:paraId="575B03C2" w14:textId="77777777" w:rsidR="00885A35" w:rsidRDefault="00885A35" w:rsidP="00B3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tobi Serif">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135816"/>
      <w:docPartObj>
        <w:docPartGallery w:val="Page Numbers (Bottom of Page)"/>
        <w:docPartUnique/>
      </w:docPartObj>
    </w:sdtPr>
    <w:sdtEndPr>
      <w:rPr>
        <w:noProof/>
      </w:rPr>
    </w:sdtEndPr>
    <w:sdtContent>
      <w:p w14:paraId="28CFE039" w14:textId="77777777" w:rsidR="008F4E6F" w:rsidRDefault="00802D03">
        <w:pPr>
          <w:pStyle w:val="Footer"/>
          <w:jc w:val="center"/>
        </w:pPr>
        <w:r>
          <w:rPr>
            <w:noProof/>
          </w:rPr>
          <mc:AlternateContent>
            <mc:Choice Requires="wps">
              <w:drawing>
                <wp:inline distT="0" distB="0" distL="0" distR="0" wp14:anchorId="71C6D1ED" wp14:editId="73706A41">
                  <wp:extent cx="5467350" cy="54610"/>
                  <wp:effectExtent l="9525" t="19050" r="9525" b="12065"/>
                  <wp:docPr id="295672331"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w:pict>
                <v:shapetype w14:anchorId="1ACB803F"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9D9C465" w14:textId="77777777" w:rsidR="008F4E6F" w:rsidRDefault="00802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040CA" w14:textId="77777777" w:rsidR="008F4E6F" w:rsidRDefault="00802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D7C7" w14:textId="77777777" w:rsidR="00885A35" w:rsidRDefault="00885A35" w:rsidP="00B33532">
      <w:pPr>
        <w:spacing w:after="0" w:line="240" w:lineRule="auto"/>
      </w:pPr>
      <w:r>
        <w:separator/>
      </w:r>
    </w:p>
  </w:footnote>
  <w:footnote w:type="continuationSeparator" w:id="0">
    <w:p w14:paraId="40BCA429" w14:textId="77777777" w:rsidR="00885A35" w:rsidRDefault="00885A35" w:rsidP="00B33532">
      <w:pPr>
        <w:spacing w:after="0" w:line="240" w:lineRule="auto"/>
      </w:pPr>
      <w:r>
        <w:continuationSeparator/>
      </w:r>
    </w:p>
  </w:footnote>
  <w:footnote w:id="1">
    <w:p w14:paraId="1224A524" w14:textId="77777777" w:rsidR="00B33532" w:rsidRPr="00A51471" w:rsidRDefault="00B33532" w:rsidP="00B33532">
      <w:pPr>
        <w:pStyle w:val="FootnoteText"/>
        <w:rPr>
          <w:lang w:val="mk-MK"/>
        </w:rPr>
      </w:pPr>
      <w:r>
        <w:rPr>
          <w:rStyle w:val="FootnoteReference"/>
        </w:rPr>
        <w:footnoteRef/>
      </w:r>
      <w:r>
        <w:t xml:space="preserve"> </w:t>
      </w:r>
      <w:r>
        <w:rPr>
          <w:rStyle w:val="Strong"/>
        </w:rPr>
        <w:t>European Commission, Rule of Law Report – North Macedonia, 2024.</w:t>
      </w:r>
      <w:r>
        <w:br/>
      </w:r>
      <w:hyperlink r:id="rId1" w:tgtFrame="_new" w:history="1">
        <w:r>
          <w:rPr>
            <w:rStyle w:val="Hyperlink"/>
          </w:rPr>
          <w:t>https://commission.europa.eu/publications/2024-rule-law-report_en</w:t>
        </w:r>
      </w:hyperlink>
    </w:p>
  </w:footnote>
  <w:footnote w:id="2">
    <w:p w14:paraId="22E00369" w14:textId="77777777" w:rsidR="00B33532" w:rsidRPr="00CC4152" w:rsidRDefault="00B33532" w:rsidP="00B33532">
      <w:pPr>
        <w:pStyle w:val="FootnoteText"/>
        <w:rPr>
          <w:lang w:val="mk-MK"/>
        </w:rPr>
      </w:pPr>
      <w:r>
        <w:rPr>
          <w:rStyle w:val="FootnoteReference"/>
        </w:rPr>
        <w:footnoteRef/>
      </w:r>
      <w:r>
        <w:t xml:space="preserve"> </w:t>
      </w:r>
      <w:proofErr w:type="spellStart"/>
      <w:r>
        <w:rPr>
          <w:rStyle w:val="Strong"/>
        </w:rPr>
        <w:t>ReSPA</w:t>
      </w:r>
      <w:proofErr w:type="spellEnd"/>
      <w:r>
        <w:rPr>
          <w:rStyle w:val="Strong"/>
        </w:rPr>
        <w:t>, Comparative Transparency Index – Western Balkans, 2023.</w:t>
      </w:r>
      <w:r>
        <w:br/>
      </w:r>
      <w:hyperlink r:id="rId2" w:tgtFrame="_new" w:history="1">
        <w:r>
          <w:rPr>
            <w:rStyle w:val="Hyperlink"/>
          </w:rPr>
          <w:t>https://www.respaweb.eu</w:t>
        </w:r>
      </w:hyperlink>
    </w:p>
  </w:footnote>
  <w:footnote w:id="3">
    <w:p w14:paraId="06EFA8DE" w14:textId="7D0283DF" w:rsidR="00B33532" w:rsidRDefault="00B33532" w:rsidP="00B33532">
      <w:pPr>
        <w:pStyle w:val="FootnoteText"/>
      </w:pPr>
      <w:r>
        <w:rPr>
          <w:rStyle w:val="FootnoteReference"/>
        </w:rPr>
        <w:footnoteRef/>
      </w:r>
      <w:r>
        <w:t xml:space="preserve"> Council of Europe, Tromsø Convention Country Factsheet: North Macedonia</w:t>
      </w:r>
    </w:p>
    <w:p w14:paraId="332DF855" w14:textId="782B77FC" w:rsidR="00B33532" w:rsidRPr="00A51471" w:rsidRDefault="00802D03" w:rsidP="00B33532">
      <w:pPr>
        <w:pStyle w:val="FootnoteText"/>
        <w:rPr>
          <w:lang w:val="mk-MK"/>
        </w:rPr>
      </w:pPr>
      <w:hyperlink r:id="rId3" w:history="1">
        <w:r w:rsidR="00E524DE" w:rsidRPr="002058D6">
          <w:rPr>
            <w:rStyle w:val="Hyperlink"/>
          </w:rPr>
          <w:t>https://www.coe.int/en/web/access-to-official-documents/north-macedonia</w:t>
        </w:r>
      </w:hyperlink>
      <w:r w:rsidR="00E524DE">
        <w:t xml:space="preserve"> </w:t>
      </w:r>
    </w:p>
  </w:footnote>
  <w:footnote w:id="4">
    <w:p w14:paraId="059CAAC0" w14:textId="77777777" w:rsidR="00B33532" w:rsidRPr="00A51471" w:rsidRDefault="00B33532" w:rsidP="00B33532">
      <w:pPr>
        <w:pStyle w:val="FootnoteText"/>
        <w:rPr>
          <w:lang w:val="mk-MK"/>
        </w:rPr>
      </w:pPr>
      <w:r>
        <w:rPr>
          <w:rStyle w:val="FootnoteReference"/>
        </w:rPr>
        <w:footnoteRef/>
      </w:r>
      <w:r>
        <w:t xml:space="preserve"> </w:t>
      </w:r>
      <w:r>
        <w:rPr>
          <w:rStyle w:val="Strong"/>
        </w:rPr>
        <w:t>OECD/SIGMA, Monitoring Report: Western Balkans Public Administration Reform, 2023.</w:t>
      </w:r>
      <w:r>
        <w:br/>
      </w:r>
      <w:hyperlink r:id="rId4" w:tgtFrame="_new" w:history="1">
        <w:r>
          <w:rPr>
            <w:rStyle w:val="Hyperlink"/>
          </w:rPr>
          <w:t>https://www.oecd.org/governance/sigma</w:t>
        </w:r>
      </w:hyperlink>
    </w:p>
  </w:footnote>
  <w:footnote w:id="5">
    <w:p w14:paraId="664F415E" w14:textId="15F7BE47" w:rsidR="00B33532" w:rsidRPr="00566CF7" w:rsidRDefault="00B33532" w:rsidP="00B33532">
      <w:pPr>
        <w:pStyle w:val="FootnoteText"/>
        <w:rPr>
          <w:lang w:val="mk-MK"/>
        </w:rPr>
      </w:pPr>
      <w:r>
        <w:rPr>
          <w:rStyle w:val="FootnoteReference"/>
        </w:rPr>
        <w:footnoteRef/>
      </w:r>
      <w:r>
        <w:t xml:space="preserve"> </w:t>
      </w:r>
      <w:r w:rsidR="00566CF7" w:rsidRPr="00566CF7">
        <w:rPr>
          <w:rStyle w:val="Strong"/>
          <w:lang w:val="mk-MK"/>
        </w:rPr>
        <w:t>Користени се податоци од Годишните извештаи на надзорните тела во регионот за 2023 и 2024 година</w:t>
      </w:r>
    </w:p>
  </w:footnote>
  <w:footnote w:id="6">
    <w:p w14:paraId="098BA724" w14:textId="131C732F" w:rsidR="00B33532" w:rsidRPr="00A51471" w:rsidRDefault="00B33532" w:rsidP="00B33532">
      <w:pPr>
        <w:pStyle w:val="FootnoteText"/>
        <w:rPr>
          <w:lang w:val="mk-MK"/>
        </w:rPr>
      </w:pPr>
      <w:r>
        <w:rPr>
          <w:rStyle w:val="FootnoteReference"/>
        </w:rPr>
        <w:footnoteRef/>
      </w:r>
      <w:r w:rsidR="00E524DE">
        <w:t xml:space="preserve"> </w:t>
      </w:r>
      <w:hyperlink r:id="rId5" w:history="1">
        <w:r w:rsidR="00E524DE" w:rsidRPr="002058D6">
          <w:rPr>
            <w:rStyle w:val="Hyperlink"/>
          </w:rPr>
          <w:t>https://birn.eu.com/wp-content/uploads/2025/06/2025-FOI-Report_24_FINAL_ENGLISH.pdf</w:t>
        </w:r>
      </w:hyperlink>
      <w:r w:rsidR="00E524DE">
        <w:t xml:space="preserve"> </w:t>
      </w:r>
    </w:p>
  </w:footnote>
  <w:footnote w:id="7">
    <w:p w14:paraId="7492951A" w14:textId="1D7D8130" w:rsidR="00E524DE" w:rsidRPr="00E524DE" w:rsidRDefault="00E524DE">
      <w:pPr>
        <w:pStyle w:val="FootnoteText"/>
        <w:rPr>
          <w:lang w:val="en-US"/>
        </w:rPr>
      </w:pPr>
      <w:r>
        <w:rPr>
          <w:rStyle w:val="FootnoteReference"/>
        </w:rPr>
        <w:footnoteRef/>
      </w:r>
      <w:r>
        <w:t xml:space="preserve"> </w:t>
      </w:r>
      <w:hyperlink r:id="rId6" w:history="1">
        <w:r w:rsidRPr="002058D6">
          <w:rPr>
            <w:rStyle w:val="Hyperlink"/>
          </w:rPr>
          <w:t>https://aspi.mk/wp-content/uploads/2025/02/анализа-на-судската-пракса-на-управниот-суд-со-законот-за-слободен-пристап-до-информациите-од-јавен-карактер.pdf</w:t>
        </w:r>
      </w:hyperlink>
      <w:r>
        <w:t xml:space="preserve"> </w:t>
      </w:r>
    </w:p>
  </w:footnote>
  <w:footnote w:id="8">
    <w:p w14:paraId="4D97CA72" w14:textId="77777777" w:rsidR="00B33532" w:rsidRDefault="00B33532" w:rsidP="00B33532">
      <w:pPr>
        <w:pStyle w:val="FootnoteText"/>
      </w:pPr>
      <w:r>
        <w:rPr>
          <w:rStyle w:val="FootnoteReference"/>
        </w:rPr>
        <w:footnoteRef/>
      </w:r>
      <w:r>
        <w:t xml:space="preserve"> </w:t>
      </w:r>
      <w:proofErr w:type="spellStart"/>
      <w:r w:rsidRPr="00B50F5F">
        <w:t>Strateški</w:t>
      </w:r>
      <w:proofErr w:type="spellEnd"/>
      <w:r w:rsidRPr="00B50F5F">
        <w:t xml:space="preserve"> </w:t>
      </w:r>
      <w:proofErr w:type="spellStart"/>
      <w:r w:rsidRPr="00B50F5F">
        <w:t>postupci</w:t>
      </w:r>
      <w:proofErr w:type="spellEnd"/>
      <w:r w:rsidRPr="00B50F5F">
        <w:t xml:space="preserve"> </w:t>
      </w:r>
      <w:proofErr w:type="spellStart"/>
      <w:r w:rsidRPr="00B50F5F">
        <w:t>protiv</w:t>
      </w:r>
      <w:proofErr w:type="spellEnd"/>
      <w:r w:rsidRPr="00B50F5F">
        <w:t xml:space="preserve"> </w:t>
      </w:r>
      <w:proofErr w:type="spellStart"/>
      <w:r w:rsidRPr="00B50F5F">
        <w:t>učešća</w:t>
      </w:r>
      <w:proofErr w:type="spellEnd"/>
      <w:r w:rsidRPr="00B50F5F">
        <w:t xml:space="preserve"> </w:t>
      </w:r>
      <w:proofErr w:type="spellStart"/>
      <w:r w:rsidRPr="00B50F5F">
        <w:t>javnostiI</w:t>
      </w:r>
      <w:proofErr w:type="spellEnd"/>
      <w:r w:rsidRPr="00B50F5F">
        <w:t xml:space="preserve"> </w:t>
      </w:r>
      <w:proofErr w:type="spellStart"/>
      <w:r w:rsidRPr="00B50F5F">
        <w:t>kao</w:t>
      </w:r>
      <w:proofErr w:type="spellEnd"/>
      <w:r w:rsidRPr="00B50F5F">
        <w:t xml:space="preserve"> </w:t>
      </w:r>
      <w:proofErr w:type="spellStart"/>
      <w:r w:rsidRPr="00B50F5F">
        <w:t>novi</w:t>
      </w:r>
      <w:proofErr w:type="spellEnd"/>
      <w:r w:rsidRPr="00B50F5F">
        <w:t xml:space="preserve"> vid </w:t>
      </w:r>
      <w:proofErr w:type="spellStart"/>
      <w:r w:rsidRPr="00B50F5F">
        <w:t>gušenja</w:t>
      </w:r>
      <w:proofErr w:type="spellEnd"/>
      <w:r w:rsidRPr="00B50F5F">
        <w:t xml:space="preserve"> </w:t>
      </w:r>
      <w:proofErr w:type="spellStart"/>
      <w:r w:rsidRPr="00B50F5F">
        <w:t>slobode</w:t>
      </w:r>
      <w:proofErr w:type="spellEnd"/>
      <w:r w:rsidRPr="00B50F5F">
        <w:t xml:space="preserve"> </w:t>
      </w:r>
      <w:proofErr w:type="spellStart"/>
      <w:r w:rsidRPr="00B50F5F">
        <w:t>izražavanja</w:t>
      </w:r>
      <w:proofErr w:type="spellEnd"/>
      <w:r>
        <w:t xml:space="preserve">, </w:t>
      </w:r>
      <w:proofErr w:type="spellStart"/>
      <w:r>
        <w:t>Partneri</w:t>
      </w:r>
      <w:proofErr w:type="spellEnd"/>
      <w:r>
        <w:t xml:space="preserve"> </w:t>
      </w:r>
      <w:proofErr w:type="spellStart"/>
      <w:r>
        <w:t>Srbija</w:t>
      </w:r>
      <w:proofErr w:type="spellEnd"/>
      <w:r>
        <w:t>, 2024</w:t>
      </w:r>
    </w:p>
    <w:p w14:paraId="533E645C" w14:textId="77777777" w:rsidR="00B33532" w:rsidRPr="00B50F5F" w:rsidRDefault="00802D03" w:rsidP="00B33532">
      <w:pPr>
        <w:pStyle w:val="FootnoteText"/>
        <w:rPr>
          <w:lang w:val="en-US"/>
        </w:rPr>
      </w:pPr>
      <w:hyperlink r:id="rId7" w:history="1">
        <w:r w:rsidR="00B33532" w:rsidRPr="002058D6">
          <w:rPr>
            <w:rStyle w:val="Hyperlink"/>
            <w:lang w:val="en-US"/>
          </w:rPr>
          <w:t>https://www.partners-serbia.org//public/news/Slapp_analiza_.pdf</w:t>
        </w:r>
      </w:hyperlink>
      <w:r w:rsidR="00B33532">
        <w:rPr>
          <w:lang w:val="en-US"/>
        </w:rPr>
        <w:t xml:space="preserve"> </w:t>
      </w:r>
    </w:p>
  </w:footnote>
  <w:footnote w:id="9">
    <w:p w14:paraId="1B9CFB4F" w14:textId="77777777" w:rsidR="00B33532" w:rsidRPr="00A51471" w:rsidRDefault="00B33532" w:rsidP="00B33532">
      <w:pPr>
        <w:pStyle w:val="FootnoteText"/>
        <w:rPr>
          <w:lang w:val="mk-MK"/>
        </w:rPr>
      </w:pPr>
      <w:r>
        <w:rPr>
          <w:rStyle w:val="FootnoteReference"/>
        </w:rPr>
        <w:footnoteRef/>
      </w:r>
      <w:r>
        <w:t xml:space="preserve"> </w:t>
      </w:r>
      <w:r>
        <w:rPr>
          <w:rStyle w:val="Strong"/>
        </w:rPr>
        <w:t>Freedom House, Nations in Transit – Western Balkans, 2024.</w:t>
      </w:r>
      <w:r>
        <w:br/>
      </w:r>
      <w:hyperlink r:id="rId8" w:tgtFrame="_new" w:history="1">
        <w:r>
          <w:rPr>
            <w:rStyle w:val="Hyperlink"/>
          </w:rPr>
          <w:t>https://freedomhouse.org</w:t>
        </w:r>
      </w:hyperlink>
    </w:p>
  </w:footnote>
  <w:footnote w:id="10">
    <w:p w14:paraId="7061D007" w14:textId="77777777" w:rsidR="00B33532" w:rsidRPr="00A51471" w:rsidRDefault="00B33532" w:rsidP="00B33532">
      <w:pPr>
        <w:pStyle w:val="FootnoteText"/>
        <w:rPr>
          <w:lang w:val="mk-MK"/>
        </w:rPr>
      </w:pPr>
      <w:r>
        <w:rPr>
          <w:rStyle w:val="FootnoteReference"/>
        </w:rPr>
        <w:footnoteRef/>
      </w:r>
      <w:r>
        <w:t xml:space="preserve"> </w:t>
      </w:r>
      <w:r>
        <w:rPr>
          <w:rStyle w:val="Strong"/>
        </w:rPr>
        <w:t>Transparency International, Corruption Perceptions Index 2024.</w:t>
      </w:r>
      <w:r>
        <w:br/>
      </w:r>
      <w:hyperlink r:id="rId9" w:tgtFrame="_new" w:history="1">
        <w:r>
          <w:rPr>
            <w:rStyle w:val="Hyperlink"/>
          </w:rPr>
          <w:t>https://www.transparency.org/en/cpi/2024</w:t>
        </w:r>
      </w:hyperlink>
    </w:p>
  </w:footnote>
  <w:footnote w:id="11">
    <w:p w14:paraId="73767D93" w14:textId="2185BD2A" w:rsidR="00B33532" w:rsidRPr="00CC4152" w:rsidRDefault="00B33532" w:rsidP="00B33532">
      <w:pPr>
        <w:pStyle w:val="FootnoteText"/>
        <w:rPr>
          <w:lang w:val="mk-MK"/>
        </w:rPr>
      </w:pPr>
      <w:r>
        <w:rPr>
          <w:rStyle w:val="FootnoteReference"/>
        </w:rPr>
        <w:footnoteRef/>
      </w:r>
      <w:r>
        <w:t xml:space="preserve"> </w:t>
      </w:r>
      <w:hyperlink r:id="rId10" w:history="1">
        <w:r w:rsidR="00195B8F" w:rsidRPr="002058D6">
          <w:rPr>
            <w:rStyle w:val="Hyperlink"/>
          </w:rPr>
          <w:t>https://www.article19.org/resources/eu-article-19-contributes-to-access-infos-report-on-access-to-documents/</w:t>
        </w:r>
      </w:hyperlink>
      <w:r w:rsidR="00195B8F">
        <w:rPr>
          <w:rStyle w:val="Strong"/>
        </w:rPr>
        <w:t xml:space="preserve"> </w:t>
      </w:r>
    </w:p>
  </w:footnote>
  <w:footnote w:id="12">
    <w:p w14:paraId="39033D94" w14:textId="20D3269C" w:rsidR="00E524DE" w:rsidRPr="00E524DE" w:rsidRDefault="00E524DE">
      <w:pPr>
        <w:pStyle w:val="FootnoteText"/>
        <w:rPr>
          <w:lang w:val="en-US"/>
        </w:rPr>
      </w:pPr>
      <w:r>
        <w:rPr>
          <w:rStyle w:val="FootnoteReference"/>
        </w:rPr>
        <w:footnoteRef/>
      </w:r>
      <w:r>
        <w:t xml:space="preserve"> </w:t>
      </w:r>
      <w:hyperlink r:id="rId11" w:history="1">
        <w:r w:rsidRPr="002058D6">
          <w:rPr>
            <w:rStyle w:val="Hyperlink"/>
          </w:rPr>
          <w:t>https://birn.eu.com/wp-content/uploads/2025/06/2025-FOI-Report_24_FINAL_ENGLISH.pdf</w:t>
        </w:r>
      </w:hyperlink>
      <w:r>
        <w:t xml:space="preserve"> </w:t>
      </w:r>
    </w:p>
  </w:footnote>
  <w:footnote w:id="13">
    <w:p w14:paraId="0AC66F46" w14:textId="77777777" w:rsidR="00B33532" w:rsidRPr="00B50F5F" w:rsidRDefault="00B33532" w:rsidP="00B33532">
      <w:pPr>
        <w:pStyle w:val="FootnoteText"/>
        <w:rPr>
          <w:lang w:val="en-US"/>
        </w:rPr>
      </w:pPr>
      <w:r>
        <w:rPr>
          <w:rStyle w:val="FootnoteReference"/>
        </w:rPr>
        <w:footnoteRef/>
      </w:r>
      <w:r>
        <w:t xml:space="preserve"> </w:t>
      </w:r>
      <w:hyperlink r:id="rId12" w:history="1">
        <w:r w:rsidRPr="002058D6">
          <w:rPr>
            <w:rStyle w:val="Hyperlink"/>
          </w:rPr>
          <w:t>https://slobodenpristap.mk/</w:t>
        </w:r>
      </w:hyperlink>
      <w:r>
        <w:t xml:space="preserve"> </w:t>
      </w:r>
    </w:p>
  </w:footnote>
  <w:footnote w:id="14">
    <w:p w14:paraId="79A778BD" w14:textId="77777777" w:rsidR="00B33532" w:rsidRPr="00886A6C" w:rsidRDefault="00B33532" w:rsidP="00B33532">
      <w:pPr>
        <w:pStyle w:val="FootnoteText"/>
        <w:rPr>
          <w:lang w:val="en-US"/>
        </w:rPr>
      </w:pPr>
      <w:r>
        <w:rPr>
          <w:rStyle w:val="FootnoteReference"/>
        </w:rPr>
        <w:footnoteRef/>
      </w:r>
      <w:r>
        <w:t xml:space="preserve"> </w:t>
      </w:r>
      <w:hyperlink r:id="rId13" w:history="1">
        <w:r w:rsidRPr="002058D6">
          <w:rPr>
            <w:rStyle w:val="Hyperlink"/>
          </w:rPr>
          <w:t>https://www.azlp.me/me/agencija?page=3</w:t>
        </w:r>
      </w:hyperlink>
      <w:r>
        <w:t xml:space="preserve"> </w:t>
      </w:r>
    </w:p>
  </w:footnote>
  <w:footnote w:id="15">
    <w:p w14:paraId="281AF48E" w14:textId="2D0F50A6" w:rsidR="003B3C76" w:rsidRPr="003B3C76" w:rsidRDefault="003B3C76">
      <w:pPr>
        <w:pStyle w:val="FootnoteText"/>
        <w:rPr>
          <w:lang w:val="mk-MK"/>
        </w:rPr>
      </w:pPr>
      <w:r>
        <w:rPr>
          <w:rStyle w:val="FootnoteReference"/>
        </w:rPr>
        <w:footnoteRef/>
      </w:r>
      <w:r>
        <w:t xml:space="preserve"> </w:t>
      </w:r>
      <w:proofErr w:type="spellStart"/>
      <w:r w:rsidRPr="003B3C76">
        <w:rPr>
          <w:rStyle w:val="Strong"/>
          <w:b w:val="0"/>
          <w:bCs w:val="0"/>
        </w:rPr>
        <w:t>Предиктивна</w:t>
      </w:r>
      <w:proofErr w:type="spellEnd"/>
      <w:r w:rsidRPr="003B3C76">
        <w:rPr>
          <w:rStyle w:val="Strong"/>
          <w:b w:val="0"/>
          <w:bCs w:val="0"/>
        </w:rPr>
        <w:t xml:space="preserve"> </w:t>
      </w:r>
      <w:proofErr w:type="spellStart"/>
      <w:r w:rsidRPr="003B3C76">
        <w:rPr>
          <w:rStyle w:val="Strong"/>
          <w:b w:val="0"/>
          <w:bCs w:val="0"/>
        </w:rPr>
        <w:t>транспарентност</w:t>
      </w:r>
      <w:proofErr w:type="spellEnd"/>
      <w:r w:rsidRPr="003B3C76">
        <w:rPr>
          <w:b/>
          <w:bCs/>
        </w:rPr>
        <w:t xml:space="preserve"> </w:t>
      </w:r>
      <w:proofErr w:type="spellStart"/>
      <w:r w:rsidRPr="003B3C76">
        <w:t>претставува</w:t>
      </w:r>
      <w:proofErr w:type="spellEnd"/>
      <w:r w:rsidRPr="003B3C76">
        <w:t xml:space="preserve"> </w:t>
      </w:r>
      <w:proofErr w:type="spellStart"/>
      <w:r>
        <w:t>проактивен</w:t>
      </w:r>
      <w:proofErr w:type="spellEnd"/>
      <w:r>
        <w:t xml:space="preserve"> </w:t>
      </w:r>
      <w:proofErr w:type="spellStart"/>
      <w:r>
        <w:t>пристап</w:t>
      </w:r>
      <w:proofErr w:type="spellEnd"/>
      <w:r>
        <w:t xml:space="preserve"> </w:t>
      </w:r>
      <w:proofErr w:type="spellStart"/>
      <w:r>
        <w:t>во</w:t>
      </w:r>
      <w:proofErr w:type="spellEnd"/>
      <w:r>
        <w:t xml:space="preserve"> </w:t>
      </w:r>
      <w:proofErr w:type="spellStart"/>
      <w:r>
        <w:t>објавувањето</w:t>
      </w:r>
      <w:proofErr w:type="spellEnd"/>
      <w:r>
        <w:t xml:space="preserve"> </w:t>
      </w:r>
      <w:proofErr w:type="spellStart"/>
      <w:r>
        <w:t>информации</w:t>
      </w:r>
      <w:proofErr w:type="spellEnd"/>
      <w:r>
        <w:t xml:space="preserve"> </w:t>
      </w:r>
      <w:proofErr w:type="spellStart"/>
      <w:r>
        <w:t>од</w:t>
      </w:r>
      <w:proofErr w:type="spellEnd"/>
      <w:r>
        <w:t xml:space="preserve"> </w:t>
      </w:r>
      <w:proofErr w:type="spellStart"/>
      <w:r>
        <w:t>страна</w:t>
      </w:r>
      <w:proofErr w:type="spellEnd"/>
      <w:r>
        <w:t xml:space="preserve"> на </w:t>
      </w:r>
      <w:proofErr w:type="spellStart"/>
      <w:r>
        <w:t>институциите</w:t>
      </w:r>
      <w:proofErr w:type="spellEnd"/>
      <w:r>
        <w:t xml:space="preserve">, </w:t>
      </w:r>
      <w:proofErr w:type="spellStart"/>
      <w:r>
        <w:t>со</w:t>
      </w:r>
      <w:proofErr w:type="spellEnd"/>
      <w:r>
        <w:t xml:space="preserve"> </w:t>
      </w:r>
      <w:proofErr w:type="spellStart"/>
      <w:r>
        <w:t>кој</w:t>
      </w:r>
      <w:proofErr w:type="spellEnd"/>
      <w:r>
        <w:t xml:space="preserve"> </w:t>
      </w:r>
      <w:proofErr w:type="spellStart"/>
      <w:r>
        <w:t>тие</w:t>
      </w:r>
      <w:proofErr w:type="spellEnd"/>
      <w:r>
        <w:t xml:space="preserve"> </w:t>
      </w:r>
      <w:proofErr w:type="spellStart"/>
      <w:r>
        <w:t>однапред</w:t>
      </w:r>
      <w:proofErr w:type="spellEnd"/>
      <w:r>
        <w:t xml:space="preserve"> (</w:t>
      </w:r>
      <w:proofErr w:type="spellStart"/>
      <w:r>
        <w:t>пред</w:t>
      </w:r>
      <w:proofErr w:type="spellEnd"/>
      <w:r>
        <w:t xml:space="preserve"> </w:t>
      </w:r>
      <w:proofErr w:type="spellStart"/>
      <w:r>
        <w:t>да</w:t>
      </w:r>
      <w:proofErr w:type="spellEnd"/>
      <w:r>
        <w:t xml:space="preserve"> </w:t>
      </w:r>
      <w:proofErr w:type="spellStart"/>
      <w:r>
        <w:t>бидат</w:t>
      </w:r>
      <w:proofErr w:type="spellEnd"/>
      <w:r>
        <w:t xml:space="preserve"> </w:t>
      </w:r>
      <w:proofErr w:type="spellStart"/>
      <w:r>
        <w:t>побарани</w:t>
      </w:r>
      <w:proofErr w:type="spellEnd"/>
      <w:r>
        <w:t xml:space="preserve">) </w:t>
      </w:r>
      <w:proofErr w:type="spellStart"/>
      <w:r>
        <w:t>ги</w:t>
      </w:r>
      <w:proofErr w:type="spellEnd"/>
      <w:r>
        <w:t xml:space="preserve"> </w:t>
      </w:r>
      <w:proofErr w:type="spellStart"/>
      <w:r>
        <w:t>објавуваат</w:t>
      </w:r>
      <w:proofErr w:type="spellEnd"/>
      <w:r>
        <w:t xml:space="preserve"> </w:t>
      </w:r>
      <w:proofErr w:type="spellStart"/>
      <w:r>
        <w:t>или</w:t>
      </w:r>
      <w:proofErr w:type="spellEnd"/>
      <w:r>
        <w:t xml:space="preserve"> </w:t>
      </w:r>
      <w:proofErr w:type="spellStart"/>
      <w:r>
        <w:t>споделуваат</w:t>
      </w:r>
      <w:proofErr w:type="spellEnd"/>
      <w:r>
        <w:t xml:space="preserve"> </w:t>
      </w:r>
      <w:proofErr w:type="spellStart"/>
      <w:r>
        <w:t>релевантните</w:t>
      </w:r>
      <w:proofErr w:type="spellEnd"/>
      <w:r>
        <w:t xml:space="preserve"> </w:t>
      </w:r>
      <w:proofErr w:type="spellStart"/>
      <w:r>
        <w:t>податоци</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од</w:t>
      </w:r>
      <w:proofErr w:type="spellEnd"/>
      <w:r>
        <w:t xml:space="preserve"> </w:t>
      </w:r>
      <w:proofErr w:type="spellStart"/>
      <w:r>
        <w:t>јавен</w:t>
      </w:r>
      <w:proofErr w:type="spellEnd"/>
      <w:r>
        <w:t xml:space="preserve"> </w:t>
      </w:r>
      <w:proofErr w:type="spellStart"/>
      <w:r>
        <w:t>интерес</w:t>
      </w:r>
      <w:proofErr w:type="spellEnd"/>
      <w:r>
        <w:t>.</w:t>
      </w:r>
    </w:p>
  </w:footnote>
  <w:footnote w:id="16">
    <w:p w14:paraId="0D0F3EBE" w14:textId="786E8C7F" w:rsidR="000E27E7" w:rsidRPr="000E27E7" w:rsidRDefault="000E27E7">
      <w:pPr>
        <w:pStyle w:val="FootnoteText"/>
        <w:rPr>
          <w:lang w:val="en-US"/>
        </w:rPr>
      </w:pPr>
      <w:r>
        <w:rPr>
          <w:rStyle w:val="FootnoteReference"/>
        </w:rPr>
        <w:footnoteRef/>
      </w:r>
      <w:r>
        <w:t xml:space="preserve"> </w:t>
      </w:r>
      <w:hyperlink r:id="rId14" w:history="1">
        <w:r w:rsidRPr="002058D6">
          <w:rPr>
            <w:rStyle w:val="Hyperlink"/>
          </w:rPr>
          <w:t>https://eur-lex.europa.eu/eli/dir/2019/1024/oj</w:t>
        </w:r>
      </w:hyperlink>
      <w:r>
        <w:t xml:space="preserve"> </w:t>
      </w:r>
    </w:p>
  </w:footnote>
  <w:footnote w:id="17">
    <w:p w14:paraId="1E5CD976" w14:textId="27ACD4BC" w:rsidR="00E524DE" w:rsidRPr="00E524DE" w:rsidRDefault="00E524DE">
      <w:pPr>
        <w:pStyle w:val="FootnoteText"/>
        <w:rPr>
          <w:lang w:val="en-US"/>
        </w:rPr>
      </w:pPr>
      <w:r>
        <w:rPr>
          <w:rStyle w:val="FootnoteReference"/>
        </w:rPr>
        <w:footnoteRef/>
      </w:r>
      <w:r>
        <w:t xml:space="preserve"> </w:t>
      </w:r>
      <w:hyperlink r:id="rId15" w:history="1">
        <w:r w:rsidRPr="002058D6">
          <w:rPr>
            <w:rStyle w:val="Hyperlink"/>
          </w:rPr>
          <w:t>https://birn.eu.com/wp-content/uploads/2025/06/2025-FOI-Report_24_FINAL_ENGLISH.pdf</w:t>
        </w:r>
      </w:hyperlink>
      <w:r>
        <w:t xml:space="preserve"> </w:t>
      </w:r>
    </w:p>
  </w:footnote>
  <w:footnote w:id="18">
    <w:p w14:paraId="40039F21" w14:textId="399B1BB9" w:rsidR="00275CF1" w:rsidRPr="00275CF1" w:rsidRDefault="00275CF1">
      <w:pPr>
        <w:pStyle w:val="FootnoteText"/>
        <w:rPr>
          <w:lang w:val="en-US"/>
        </w:rPr>
      </w:pPr>
      <w:r>
        <w:rPr>
          <w:rStyle w:val="FootnoteReference"/>
        </w:rPr>
        <w:footnoteRef/>
      </w:r>
      <w:r>
        <w:t xml:space="preserve"> </w:t>
      </w:r>
      <w:hyperlink r:id="rId16" w:history="1">
        <w:r w:rsidRPr="002058D6">
          <w:rPr>
            <w:rStyle w:val="Hyperlink"/>
          </w:rPr>
          <w:t>https://rsf.org/en/index?year=2025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0DD"/>
    <w:multiLevelType w:val="multilevel"/>
    <w:tmpl w:val="8E80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91547"/>
    <w:multiLevelType w:val="multilevel"/>
    <w:tmpl w:val="F69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34F42"/>
    <w:multiLevelType w:val="multilevel"/>
    <w:tmpl w:val="593A79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64AC0"/>
    <w:multiLevelType w:val="multilevel"/>
    <w:tmpl w:val="EE0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8305B"/>
    <w:multiLevelType w:val="multilevel"/>
    <w:tmpl w:val="973C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467B8"/>
    <w:multiLevelType w:val="multilevel"/>
    <w:tmpl w:val="A0D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090718">
    <w:abstractNumId w:val="5"/>
  </w:num>
  <w:num w:numId="2" w16cid:durableId="647898970">
    <w:abstractNumId w:val="3"/>
  </w:num>
  <w:num w:numId="3" w16cid:durableId="1398744133">
    <w:abstractNumId w:val="4"/>
  </w:num>
  <w:num w:numId="4" w16cid:durableId="878277159">
    <w:abstractNumId w:val="2"/>
  </w:num>
  <w:num w:numId="5" w16cid:durableId="85006691">
    <w:abstractNumId w:val="0"/>
  </w:num>
  <w:num w:numId="6" w16cid:durableId="207369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32"/>
    <w:rsid w:val="000C26A7"/>
    <w:rsid w:val="000E27E7"/>
    <w:rsid w:val="00150BD4"/>
    <w:rsid w:val="00195B8F"/>
    <w:rsid w:val="001E7998"/>
    <w:rsid w:val="00275CF1"/>
    <w:rsid w:val="003B3C76"/>
    <w:rsid w:val="004A54F7"/>
    <w:rsid w:val="00513943"/>
    <w:rsid w:val="00566CF7"/>
    <w:rsid w:val="005919F4"/>
    <w:rsid w:val="005C78F3"/>
    <w:rsid w:val="00666B77"/>
    <w:rsid w:val="006705FA"/>
    <w:rsid w:val="00677D2B"/>
    <w:rsid w:val="00681BA7"/>
    <w:rsid w:val="0075102C"/>
    <w:rsid w:val="007C2042"/>
    <w:rsid w:val="00802D03"/>
    <w:rsid w:val="00885A35"/>
    <w:rsid w:val="009257F3"/>
    <w:rsid w:val="00A72150"/>
    <w:rsid w:val="00A83BA3"/>
    <w:rsid w:val="00AB3DCF"/>
    <w:rsid w:val="00AD35F5"/>
    <w:rsid w:val="00B12868"/>
    <w:rsid w:val="00B32BE0"/>
    <w:rsid w:val="00B33532"/>
    <w:rsid w:val="00CC3C38"/>
    <w:rsid w:val="00CF054D"/>
    <w:rsid w:val="00D943A3"/>
    <w:rsid w:val="00DE64F8"/>
    <w:rsid w:val="00E524DE"/>
    <w:rsid w:val="00F44D99"/>
    <w:rsid w:val="00F71397"/>
    <w:rsid w:val="00F73914"/>
    <w:rsid w:val="00FB396B"/>
    <w:rsid w:val="00FF1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8DD7"/>
  <w15:chartTrackingRefBased/>
  <w15:docId w15:val="{2F1359B8-EFFD-44A9-A92C-137F9095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tobiSerif Regular" w:eastAsiaTheme="minorHAnsi" w:hAnsi="StobiSerif Regular"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532"/>
    <w:pPr>
      <w:spacing w:before="100" w:beforeAutospacing="1" w:after="100" w:afterAutospacing="1" w:line="240" w:lineRule="auto"/>
    </w:pPr>
    <w:rPr>
      <w:rFonts w:ascii="Times New Roman" w:eastAsia="Times New Roman" w:hAnsi="Times New Roman" w:cs="Times New Roman"/>
      <w:lang w:val="mk-MK" w:eastAsia="mk-MK"/>
    </w:rPr>
  </w:style>
  <w:style w:type="character" w:styleId="Strong">
    <w:name w:val="Strong"/>
    <w:basedOn w:val="DefaultParagraphFont"/>
    <w:uiPriority w:val="22"/>
    <w:qFormat/>
    <w:rsid w:val="00B33532"/>
    <w:rPr>
      <w:b/>
      <w:bCs/>
    </w:rPr>
  </w:style>
  <w:style w:type="paragraph" w:styleId="Footer">
    <w:name w:val="footer"/>
    <w:basedOn w:val="Normal"/>
    <w:link w:val="FooterChar"/>
    <w:uiPriority w:val="99"/>
    <w:unhideWhenUsed/>
    <w:rsid w:val="00B33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532"/>
  </w:style>
  <w:style w:type="paragraph" w:styleId="FootnoteText">
    <w:name w:val="footnote text"/>
    <w:basedOn w:val="Normal"/>
    <w:link w:val="FootnoteTextChar"/>
    <w:uiPriority w:val="99"/>
    <w:semiHidden/>
    <w:unhideWhenUsed/>
    <w:rsid w:val="00B335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532"/>
    <w:rPr>
      <w:sz w:val="20"/>
      <w:szCs w:val="20"/>
    </w:rPr>
  </w:style>
  <w:style w:type="character" w:styleId="FootnoteReference">
    <w:name w:val="footnote reference"/>
    <w:basedOn w:val="DefaultParagraphFont"/>
    <w:uiPriority w:val="99"/>
    <w:semiHidden/>
    <w:unhideWhenUsed/>
    <w:rsid w:val="00B33532"/>
    <w:rPr>
      <w:vertAlign w:val="superscript"/>
    </w:rPr>
  </w:style>
  <w:style w:type="character" w:styleId="Hyperlink">
    <w:name w:val="Hyperlink"/>
    <w:basedOn w:val="DefaultParagraphFont"/>
    <w:uiPriority w:val="99"/>
    <w:unhideWhenUsed/>
    <w:rsid w:val="00B33532"/>
    <w:rPr>
      <w:color w:val="0000FF"/>
      <w:u w:val="single"/>
    </w:rPr>
  </w:style>
  <w:style w:type="character" w:styleId="Emphasis">
    <w:name w:val="Emphasis"/>
    <w:basedOn w:val="DefaultParagraphFont"/>
    <w:uiPriority w:val="20"/>
    <w:qFormat/>
    <w:rsid w:val="00B33532"/>
    <w:rPr>
      <w:i/>
      <w:iCs/>
    </w:rPr>
  </w:style>
  <w:style w:type="character" w:styleId="UnresolvedMention">
    <w:name w:val="Unresolved Mention"/>
    <w:basedOn w:val="DefaultParagraphFont"/>
    <w:uiPriority w:val="99"/>
    <w:semiHidden/>
    <w:unhideWhenUsed/>
    <w:rsid w:val="000E27E7"/>
    <w:rPr>
      <w:color w:val="605E5C"/>
      <w:shd w:val="clear" w:color="auto" w:fill="E1DFDD"/>
    </w:rPr>
  </w:style>
  <w:style w:type="character" w:styleId="FollowedHyperlink">
    <w:name w:val="FollowedHyperlink"/>
    <w:basedOn w:val="DefaultParagraphFont"/>
    <w:uiPriority w:val="99"/>
    <w:semiHidden/>
    <w:unhideWhenUsed/>
    <w:rsid w:val="00E524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9101">
      <w:bodyDiv w:val="1"/>
      <w:marLeft w:val="0"/>
      <w:marRight w:val="0"/>
      <w:marTop w:val="0"/>
      <w:marBottom w:val="0"/>
      <w:divBdr>
        <w:top w:val="none" w:sz="0" w:space="0" w:color="auto"/>
        <w:left w:val="none" w:sz="0" w:space="0" w:color="auto"/>
        <w:bottom w:val="none" w:sz="0" w:space="0" w:color="auto"/>
        <w:right w:val="none" w:sz="0" w:space="0" w:color="auto"/>
      </w:divBdr>
    </w:div>
    <w:div w:id="11514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freedomhouse.org" TargetMode="External"/><Relationship Id="rId13" Type="http://schemas.openxmlformats.org/officeDocument/2006/relationships/hyperlink" Target="https://www.azlp.me/me/agencija?page=3" TargetMode="External"/><Relationship Id="rId3" Type="http://schemas.openxmlformats.org/officeDocument/2006/relationships/hyperlink" Target="https://www.coe.int/en/web/access-to-official-documents/north-macedonia" TargetMode="External"/><Relationship Id="rId7" Type="http://schemas.openxmlformats.org/officeDocument/2006/relationships/hyperlink" Target="https://www.partners-serbia.org//public/news/Slapp_analiza_.pdf" TargetMode="External"/><Relationship Id="rId12" Type="http://schemas.openxmlformats.org/officeDocument/2006/relationships/hyperlink" Target="https://slobodenpristap.mk/" TargetMode="External"/><Relationship Id="rId2" Type="http://schemas.openxmlformats.org/officeDocument/2006/relationships/hyperlink" Target="https://www.respaweb.eu" TargetMode="External"/><Relationship Id="rId16" Type="http://schemas.openxmlformats.org/officeDocument/2006/relationships/hyperlink" Target="https://rsf.org/en/index?year=2025" TargetMode="External"/><Relationship Id="rId1" Type="http://schemas.openxmlformats.org/officeDocument/2006/relationships/hyperlink" Target="https://commission.europa.eu/publications/2024-rule-law-report_en" TargetMode="External"/><Relationship Id="rId6" Type="http://schemas.openxmlformats.org/officeDocument/2006/relationships/hyperlink" Target="https://aspi.mk/wp-content/uploads/2025/02/&#1072;&#1085;&#1072;&#1083;&#1080;&#1079;&#1072;-&#1085;&#1072;-&#1089;&#1091;&#1076;&#1089;&#1082;&#1072;&#1090;&#1072;-&#1087;&#1088;&#1072;&#1082;&#1089;&#1072;-&#1085;&#1072;-&#1091;&#1087;&#1088;&#1072;&#1074;&#1085;&#1080;&#1086;&#1090;-&#1089;&#1091;&#1076;-&#1089;&#1086;-&#1079;&#1072;&#1082;&#1086;&#1085;&#1086;&#1090;-&#1079;&#1072;-&#1089;&#1083;&#1086;&#1073;&#1086;&#1076;&#1077;&#1085;-&#1087;&#1088;&#1080;&#1089;&#1090;&#1072;&#1087;-&#1076;&#1086;-&#1080;&#1085;&#1092;&#1086;&#1088;&#1084;&#1072;&#1094;&#1080;&#1080;&#1090;&#1077;-&#1086;&#1076;-&#1112;&#1072;&#1074;&#1077;&#1085;-&#1082;&#1072;&#1088;&#1072;&#1082;&#1090;&#1077;&#1088;.pdf" TargetMode="External"/><Relationship Id="rId11" Type="http://schemas.openxmlformats.org/officeDocument/2006/relationships/hyperlink" Target="https://birn.eu.com/wp-content/uploads/2025/06/2025-FOI-Report_24_FINAL_ENGLISH.pdf" TargetMode="External"/><Relationship Id="rId5" Type="http://schemas.openxmlformats.org/officeDocument/2006/relationships/hyperlink" Target="https://birn.eu.com/wp-content/uploads/2025/06/2025-FOI-Report_24_FINAL_ENGLISH.pdf" TargetMode="External"/><Relationship Id="rId15" Type="http://schemas.openxmlformats.org/officeDocument/2006/relationships/hyperlink" Target="https://birn.eu.com/wp-content/uploads/2025/06/2025-FOI-Report_24_FINAL_ENGLISH.pdf" TargetMode="External"/><Relationship Id="rId10" Type="http://schemas.openxmlformats.org/officeDocument/2006/relationships/hyperlink" Target="https://www.article19.org/resources/eu-article-19-contributes-to-access-infos-report-on-access-to-documents/" TargetMode="External"/><Relationship Id="rId4" Type="http://schemas.openxmlformats.org/officeDocument/2006/relationships/hyperlink" Target="https://www.oecd.org/governance/sigma" TargetMode="External"/><Relationship Id="rId9" Type="http://schemas.openxmlformats.org/officeDocument/2006/relationships/hyperlink" Target="https://www.transparency.org/en/cpi/2024" TargetMode="External"/><Relationship Id="rId14" Type="http://schemas.openxmlformats.org/officeDocument/2006/relationships/hyperlink" Target="https://eur-lex.europa.eu/eli/dir/2019/1024/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23C8-1E6E-4C87-A6C2-8141AA47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Pages>
  <Words>4262</Words>
  <Characters>24295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dc:creator>
  <cp:keywords/>
  <dc:description/>
  <cp:lastModifiedBy>oliver</cp:lastModifiedBy>
  <cp:revision>26</cp:revision>
  <cp:lastPrinted>2025-07-18T09:10:00Z</cp:lastPrinted>
  <dcterms:created xsi:type="dcterms:W3CDTF">2025-07-18T08:08:00Z</dcterms:created>
  <dcterms:modified xsi:type="dcterms:W3CDTF">2025-07-22T08:20:00Z</dcterms:modified>
</cp:coreProperties>
</file>