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0979" w14:textId="2257A848" w:rsidR="000D738B" w:rsidRPr="000D738B" w:rsidRDefault="000D738B" w:rsidP="000D738B">
      <w:pPr>
        <w:spacing w:before="100" w:beforeAutospacing="1" w:after="100" w:afterAutospacing="1" w:line="240" w:lineRule="auto"/>
        <w:jc w:val="center"/>
        <w:rPr>
          <w:rFonts w:eastAsia="Times New Roman" w:cs="Times New Roman"/>
          <w:b/>
          <w:bCs/>
          <w:sz w:val="28"/>
          <w:szCs w:val="28"/>
          <w:lang w:val="mk-MK" w:eastAsia="mk-MK"/>
        </w:rPr>
      </w:pPr>
      <w:bookmarkStart w:id="0" w:name="_Hlk203384090"/>
      <w:bookmarkEnd w:id="0"/>
      <w:r w:rsidRPr="00893473">
        <w:rPr>
          <w:rFonts w:cs="Calibri"/>
          <w:noProof/>
          <w:color w:val="000000"/>
          <w:lang w:val="en-US"/>
        </w:rPr>
        <w:drawing>
          <wp:inline distT="0" distB="0" distL="0" distR="0" wp14:anchorId="71F75D0D" wp14:editId="39B9A765">
            <wp:extent cx="333375" cy="676275"/>
            <wp:effectExtent l="0" t="0" r="9525" b="9525"/>
            <wp:docPr id="90888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676275"/>
                    </a:xfrm>
                    <a:prstGeom prst="rect">
                      <a:avLst/>
                    </a:prstGeom>
                    <a:noFill/>
                    <a:ln>
                      <a:noFill/>
                    </a:ln>
                  </pic:spPr>
                </pic:pic>
              </a:graphicData>
            </a:graphic>
          </wp:inline>
        </w:drawing>
      </w:r>
    </w:p>
    <w:p w14:paraId="0BD85B2D" w14:textId="77777777" w:rsidR="000D738B" w:rsidRPr="00893473" w:rsidRDefault="000D738B" w:rsidP="000D738B">
      <w:pPr>
        <w:spacing w:after="27"/>
        <w:ind w:left="144" w:hanging="10"/>
        <w:jc w:val="center"/>
        <w:rPr>
          <w:rFonts w:cs="Calibri"/>
          <w:color w:val="000000"/>
          <w:sz w:val="20"/>
          <w:szCs w:val="20"/>
          <w:lang w:eastAsia="mk-MK"/>
        </w:rPr>
      </w:pPr>
      <w:r w:rsidRPr="00893473">
        <w:rPr>
          <w:rFonts w:eastAsia="Arial" w:cs="Arial"/>
          <w:b/>
          <w:color w:val="000000"/>
          <w:sz w:val="20"/>
          <w:szCs w:val="20"/>
          <w:lang w:eastAsia="mk-MK"/>
        </w:rPr>
        <w:t>АГЕНЦИЈА ЗА ЗАШТИТА НА ПРАВОТО НА СЛОБОДЕН ПРИСТАП ДО ИНФОРМАЦИИТЕ ОД ЈАВЕН КАРАКТЕР</w:t>
      </w:r>
    </w:p>
    <w:p w14:paraId="062E7656" w14:textId="77777777" w:rsidR="000D738B" w:rsidRPr="00893473" w:rsidRDefault="000D738B" w:rsidP="000D738B">
      <w:pPr>
        <w:rPr>
          <w:rFonts w:cs="Arial"/>
          <w:b/>
          <w:sz w:val="28"/>
          <w:szCs w:val="28"/>
        </w:rPr>
      </w:pPr>
    </w:p>
    <w:p w14:paraId="3F7E826E" w14:textId="2D4D77B9" w:rsidR="000D738B" w:rsidRPr="00DC4B9D" w:rsidRDefault="000D738B" w:rsidP="00595D47">
      <w:pPr>
        <w:spacing w:after="0" w:line="240" w:lineRule="auto"/>
        <w:jc w:val="center"/>
        <w:rPr>
          <w:rFonts w:cs="Arial"/>
          <w:b/>
          <w:sz w:val="32"/>
          <w:szCs w:val="32"/>
        </w:rPr>
      </w:pPr>
      <w:r w:rsidRPr="00DC4B9D">
        <w:rPr>
          <w:rFonts w:cs="Arial"/>
          <w:b/>
          <w:sz w:val="32"/>
          <w:szCs w:val="32"/>
        </w:rPr>
        <w:t>АНАЛИ</w:t>
      </w:r>
      <w:r w:rsidR="00BE0B54">
        <w:rPr>
          <w:rFonts w:cs="Arial"/>
          <w:b/>
          <w:sz w:val="32"/>
          <w:szCs w:val="32"/>
          <w:lang w:val="mk-MK"/>
        </w:rPr>
        <w:t>ЗА</w:t>
      </w:r>
      <w:r w:rsidR="00595D47">
        <w:rPr>
          <w:rFonts w:cs="Arial"/>
          <w:b/>
          <w:sz w:val="32"/>
          <w:szCs w:val="32"/>
          <w:lang w:val="mk-MK"/>
        </w:rPr>
        <w:t xml:space="preserve"> НА ПОСТАПУВАЊЕТО НА АГЕНЦИЈАТА</w:t>
      </w:r>
      <w:r w:rsidR="0082563A">
        <w:rPr>
          <w:rFonts w:cs="Arial"/>
          <w:b/>
          <w:sz w:val="32"/>
          <w:szCs w:val="32"/>
          <w:lang w:val="mk-MK"/>
        </w:rPr>
        <w:t xml:space="preserve"> </w:t>
      </w:r>
      <w:r w:rsidR="0082563A" w:rsidRPr="0082563A">
        <w:rPr>
          <w:rFonts w:cs="Arial"/>
          <w:b/>
          <w:sz w:val="32"/>
          <w:szCs w:val="32"/>
          <w:lang w:val="mk-MK"/>
        </w:rPr>
        <w:t>ЗА ЗАШТИТА НА ПРАВОТО НА СЛОБОДЕН ПРИСТАП ДО ИНФОРМАЦИИ ОД ЈАВЕН КАРАКТЕР</w:t>
      </w:r>
      <w:r w:rsidR="00595D47">
        <w:rPr>
          <w:rFonts w:cs="Arial"/>
          <w:b/>
          <w:sz w:val="32"/>
          <w:szCs w:val="32"/>
          <w:lang w:val="mk-MK"/>
        </w:rPr>
        <w:t xml:space="preserve"> ПО ЖАЛБИ</w:t>
      </w:r>
      <w:r w:rsidR="0082563A">
        <w:rPr>
          <w:rFonts w:cs="Arial"/>
          <w:b/>
          <w:sz w:val="32"/>
          <w:szCs w:val="32"/>
          <w:lang w:val="mk-MK"/>
        </w:rPr>
        <w:t>ТЕ ПРИМЕНИ</w:t>
      </w:r>
      <w:r w:rsidR="00595D47">
        <w:rPr>
          <w:rFonts w:cs="Arial"/>
          <w:b/>
          <w:sz w:val="32"/>
          <w:szCs w:val="32"/>
          <w:lang w:val="mk-MK"/>
        </w:rPr>
        <w:t xml:space="preserve"> ВО </w:t>
      </w:r>
      <w:proofErr w:type="gramStart"/>
      <w:r w:rsidR="00595D47">
        <w:rPr>
          <w:rFonts w:cs="Arial"/>
          <w:b/>
          <w:sz w:val="32"/>
          <w:szCs w:val="32"/>
          <w:lang w:val="mk-MK"/>
        </w:rPr>
        <w:t xml:space="preserve">ПЕРИОДОТ </w:t>
      </w:r>
      <w:r w:rsidRPr="00DC4B9D">
        <w:rPr>
          <w:rFonts w:cs="Arial"/>
          <w:b/>
          <w:sz w:val="32"/>
          <w:szCs w:val="32"/>
        </w:rPr>
        <w:t xml:space="preserve"> </w:t>
      </w:r>
      <w:r w:rsidR="00595D47" w:rsidRPr="00DC4B9D">
        <w:rPr>
          <w:rFonts w:cs="Arial"/>
          <w:b/>
          <w:sz w:val="32"/>
          <w:szCs w:val="32"/>
        </w:rPr>
        <w:t>ОД</w:t>
      </w:r>
      <w:proofErr w:type="gramEnd"/>
      <w:r w:rsidR="007E6463">
        <w:rPr>
          <w:rFonts w:cs="Arial"/>
          <w:b/>
          <w:sz w:val="32"/>
          <w:szCs w:val="32"/>
          <w:lang w:val="mk-MK"/>
        </w:rPr>
        <w:t xml:space="preserve"> </w:t>
      </w:r>
      <w:r w:rsidR="00595D47" w:rsidRPr="00DC4B9D">
        <w:rPr>
          <w:rFonts w:cs="Arial"/>
          <w:b/>
          <w:sz w:val="32"/>
          <w:szCs w:val="32"/>
        </w:rPr>
        <w:t>1 ЈАНУАРИ ДО 30 ЈУНИ 202</w:t>
      </w:r>
      <w:r w:rsidR="00595D47">
        <w:rPr>
          <w:rFonts w:cs="Arial"/>
          <w:b/>
          <w:sz w:val="32"/>
          <w:szCs w:val="32"/>
          <w:lang w:val="mk-MK"/>
        </w:rPr>
        <w:t>5</w:t>
      </w:r>
      <w:r w:rsidR="00595D47" w:rsidRPr="00DC4B9D">
        <w:rPr>
          <w:rFonts w:cs="Arial"/>
          <w:b/>
          <w:sz w:val="32"/>
          <w:szCs w:val="32"/>
        </w:rPr>
        <w:t xml:space="preserve"> ГОДИНА</w:t>
      </w:r>
      <w:r w:rsidR="00595D47">
        <w:rPr>
          <w:rFonts w:cs="Arial"/>
          <w:b/>
          <w:sz w:val="32"/>
          <w:szCs w:val="32"/>
          <w:lang w:val="mk-MK"/>
        </w:rPr>
        <w:t xml:space="preserve">, СО ПОСЕБЕН </w:t>
      </w:r>
      <w:r w:rsidR="0082563A">
        <w:rPr>
          <w:rFonts w:cs="Arial"/>
          <w:b/>
          <w:sz w:val="32"/>
          <w:szCs w:val="32"/>
          <w:lang w:val="mk-MK"/>
        </w:rPr>
        <w:t>ОСВРТ</w:t>
      </w:r>
      <w:r w:rsidR="00595D47">
        <w:rPr>
          <w:rFonts w:cs="Arial"/>
          <w:b/>
          <w:sz w:val="32"/>
          <w:szCs w:val="32"/>
          <w:lang w:val="mk-MK"/>
        </w:rPr>
        <w:t xml:space="preserve"> НА МОЛЧЕЊЕТО НА </w:t>
      </w:r>
      <w:r w:rsidR="0082563A">
        <w:rPr>
          <w:rFonts w:cs="Arial"/>
          <w:b/>
          <w:sz w:val="32"/>
          <w:szCs w:val="32"/>
          <w:lang w:val="mk-MK"/>
        </w:rPr>
        <w:t>УПРАВАТА</w:t>
      </w:r>
    </w:p>
    <w:p w14:paraId="0DE7BB56" w14:textId="77777777" w:rsidR="000D738B" w:rsidRPr="00893473" w:rsidRDefault="000D738B" w:rsidP="000D738B">
      <w:pPr>
        <w:rPr>
          <w:rFonts w:cs="Arial"/>
          <w:b/>
        </w:rPr>
      </w:pPr>
    </w:p>
    <w:p w14:paraId="0E0A984E" w14:textId="77777777" w:rsidR="000D738B" w:rsidRPr="00893473" w:rsidRDefault="000D738B" w:rsidP="000D738B">
      <w:pPr>
        <w:jc w:val="center"/>
        <w:rPr>
          <w:b/>
        </w:rPr>
      </w:pPr>
      <w:r w:rsidRPr="00893473">
        <w:rPr>
          <w:noProof/>
          <w:lang w:val="en-US"/>
        </w:rPr>
        <w:drawing>
          <wp:inline distT="0" distB="0" distL="0" distR="0" wp14:anchorId="556DB125" wp14:editId="2FEE2834">
            <wp:extent cx="5730946" cy="4419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1020" cy="4427369"/>
                    </a:xfrm>
                    <a:prstGeom prst="rect">
                      <a:avLst/>
                    </a:prstGeom>
                    <a:noFill/>
                    <a:ln>
                      <a:noFill/>
                    </a:ln>
                  </pic:spPr>
                </pic:pic>
              </a:graphicData>
            </a:graphic>
          </wp:inline>
        </w:drawing>
      </w:r>
    </w:p>
    <w:p w14:paraId="47819571" w14:textId="77777777" w:rsidR="000D738B" w:rsidRPr="00893473" w:rsidRDefault="000D738B" w:rsidP="000D738B">
      <w:pPr>
        <w:jc w:val="center"/>
        <w:rPr>
          <w:b/>
        </w:rPr>
      </w:pPr>
    </w:p>
    <w:p w14:paraId="08F77A83" w14:textId="17DF9CCA" w:rsidR="000D738B" w:rsidRPr="000D738B" w:rsidRDefault="000D738B" w:rsidP="000D738B">
      <w:pPr>
        <w:jc w:val="center"/>
        <w:rPr>
          <w:b/>
          <w:lang w:val="mk-MK"/>
        </w:rPr>
      </w:pPr>
      <w:r w:rsidRPr="00DC4B9D">
        <w:rPr>
          <w:b/>
          <w:lang w:val="mk-MK"/>
        </w:rPr>
        <w:t xml:space="preserve">Скопје, </w:t>
      </w:r>
      <w:r>
        <w:rPr>
          <w:b/>
          <w:lang w:val="mk-MK"/>
        </w:rPr>
        <w:t>јули</w:t>
      </w:r>
      <w:r w:rsidRPr="00DC4B9D">
        <w:rPr>
          <w:b/>
          <w:lang w:val="mk-MK"/>
        </w:rPr>
        <w:t xml:space="preserve"> 202</w:t>
      </w:r>
      <w:r>
        <w:rPr>
          <w:b/>
          <w:lang w:val="mk-MK"/>
        </w:rPr>
        <w:t>5</w:t>
      </w:r>
      <w:r w:rsidRPr="00DC4B9D">
        <w:rPr>
          <w:b/>
          <w:lang w:val="mk-MK"/>
        </w:rPr>
        <w:t xml:space="preserve"> година</w:t>
      </w:r>
    </w:p>
    <w:p w14:paraId="567B3CFD" w14:textId="7407E943" w:rsidR="000A344F" w:rsidRDefault="000A344F" w:rsidP="000A344F">
      <w:pPr>
        <w:spacing w:before="100" w:beforeAutospacing="1" w:after="100" w:afterAutospacing="1" w:line="240" w:lineRule="auto"/>
        <w:jc w:val="both"/>
        <w:rPr>
          <w:rFonts w:eastAsia="Times New Roman" w:cs="Times New Roman"/>
          <w:b/>
          <w:bCs/>
          <w:sz w:val="32"/>
          <w:szCs w:val="32"/>
          <w:lang w:val="mk-MK" w:eastAsia="mk-MK"/>
        </w:rPr>
      </w:pPr>
      <w:r w:rsidRPr="000A344F">
        <w:rPr>
          <w:rFonts w:eastAsia="Times New Roman" w:cs="Times New Roman"/>
          <w:b/>
          <w:bCs/>
          <w:sz w:val="32"/>
          <w:szCs w:val="32"/>
          <w:lang w:val="mk-MK" w:eastAsia="mk-MK"/>
        </w:rPr>
        <w:lastRenderedPageBreak/>
        <w:t>Мо</w:t>
      </w:r>
      <w:r w:rsidR="001814FB">
        <w:rPr>
          <w:rFonts w:eastAsia="Times New Roman" w:cs="Times New Roman"/>
          <w:b/>
          <w:bCs/>
          <w:sz w:val="32"/>
          <w:szCs w:val="32"/>
          <w:lang w:val="mk-MK" w:eastAsia="mk-MK"/>
        </w:rPr>
        <w:t>лчењето</w:t>
      </w:r>
      <w:r w:rsidRPr="000A344F">
        <w:rPr>
          <w:rFonts w:eastAsia="Times New Roman" w:cs="Times New Roman"/>
          <w:b/>
          <w:bCs/>
          <w:sz w:val="32"/>
          <w:szCs w:val="32"/>
          <w:lang w:val="mk-MK" w:eastAsia="mk-MK"/>
        </w:rPr>
        <w:t xml:space="preserve"> на управата како индикатор за </w:t>
      </w:r>
      <w:r w:rsidR="008C100D" w:rsidRPr="000A344F">
        <w:rPr>
          <w:rFonts w:eastAsia="Times New Roman" w:cs="Times New Roman"/>
          <w:b/>
          <w:bCs/>
          <w:sz w:val="32"/>
          <w:szCs w:val="32"/>
          <w:lang w:val="mk-MK" w:eastAsia="mk-MK"/>
        </w:rPr>
        <w:t>институционалн</w:t>
      </w:r>
      <w:r w:rsidR="008C100D">
        <w:rPr>
          <w:rFonts w:eastAsia="Times New Roman" w:cs="Times New Roman"/>
          <w:b/>
          <w:bCs/>
          <w:sz w:val="32"/>
          <w:szCs w:val="32"/>
          <w:lang w:val="mk-MK" w:eastAsia="mk-MK"/>
        </w:rPr>
        <w:t>а</w:t>
      </w:r>
      <w:r w:rsidR="008C100D" w:rsidRPr="000A344F">
        <w:rPr>
          <w:rFonts w:eastAsia="Times New Roman" w:cs="Times New Roman"/>
          <w:b/>
          <w:bCs/>
          <w:sz w:val="32"/>
          <w:szCs w:val="32"/>
          <w:lang w:val="mk-MK" w:eastAsia="mk-MK"/>
        </w:rPr>
        <w:t xml:space="preserve"> </w:t>
      </w:r>
      <w:r w:rsidRPr="000A344F">
        <w:rPr>
          <w:rFonts w:eastAsia="Times New Roman" w:cs="Times New Roman"/>
          <w:b/>
          <w:bCs/>
          <w:sz w:val="32"/>
          <w:szCs w:val="32"/>
          <w:lang w:val="mk-MK" w:eastAsia="mk-MK"/>
        </w:rPr>
        <w:t>нетранспарентност</w:t>
      </w:r>
    </w:p>
    <w:p w14:paraId="5F9D6BAE" w14:textId="77777777" w:rsidR="00B2524A" w:rsidRPr="004A2F0B" w:rsidRDefault="00B2524A" w:rsidP="000A344F">
      <w:pPr>
        <w:spacing w:before="100" w:beforeAutospacing="1" w:after="100" w:afterAutospacing="1" w:line="240" w:lineRule="auto"/>
        <w:jc w:val="both"/>
        <w:outlineLvl w:val="2"/>
        <w:rPr>
          <w:rFonts w:eastAsia="Times New Roman" w:cs="Times New Roman"/>
          <w:b/>
          <w:bCs/>
          <w:sz w:val="2"/>
          <w:szCs w:val="2"/>
          <w:lang w:val="mk-MK" w:eastAsia="mk-MK"/>
        </w:rPr>
      </w:pPr>
    </w:p>
    <w:p w14:paraId="50DFA9C0" w14:textId="4EDBC18F" w:rsidR="000A344F" w:rsidRPr="00B2524A" w:rsidRDefault="000A344F" w:rsidP="00B2524A">
      <w:pPr>
        <w:pStyle w:val="ListParagraph"/>
        <w:numPr>
          <w:ilvl w:val="0"/>
          <w:numId w:val="6"/>
        </w:numPr>
        <w:spacing w:before="100" w:beforeAutospacing="1" w:after="100" w:afterAutospacing="1" w:line="240" w:lineRule="auto"/>
        <w:jc w:val="both"/>
        <w:outlineLvl w:val="2"/>
        <w:rPr>
          <w:rFonts w:eastAsia="Times New Roman" w:cs="Times New Roman"/>
          <w:b/>
          <w:bCs/>
          <w:sz w:val="27"/>
          <w:szCs w:val="27"/>
          <w:lang w:val="mk-MK" w:eastAsia="mk-MK"/>
        </w:rPr>
      </w:pPr>
      <w:r w:rsidRPr="00B2524A">
        <w:rPr>
          <w:rFonts w:eastAsia="Times New Roman" w:cs="Times New Roman"/>
          <w:b/>
          <w:bCs/>
          <w:sz w:val="27"/>
          <w:szCs w:val="27"/>
          <w:lang w:val="mk-MK" w:eastAsia="mk-MK"/>
        </w:rPr>
        <w:t>ВОВЕД</w:t>
      </w:r>
    </w:p>
    <w:p w14:paraId="2F7FFD8C" w14:textId="33AEAC0C" w:rsidR="000A344F" w:rsidRPr="000A344F" w:rsidRDefault="000A344F" w:rsidP="000A344F">
      <w:pPr>
        <w:spacing w:before="100" w:beforeAutospacing="1" w:after="100" w:afterAutospacing="1" w:line="240" w:lineRule="auto"/>
        <w:jc w:val="both"/>
        <w:rPr>
          <w:rFonts w:eastAsia="Times New Roman" w:cs="Times New Roman"/>
          <w:lang w:val="mk-MK" w:eastAsia="mk-MK"/>
        </w:rPr>
      </w:pPr>
      <w:r w:rsidRPr="000A344F">
        <w:rPr>
          <w:rFonts w:eastAsia="Times New Roman" w:cs="Times New Roman"/>
          <w:lang w:val="mk-MK" w:eastAsia="mk-MK"/>
        </w:rPr>
        <w:t>Мол</w:t>
      </w:r>
      <w:r w:rsidR="00A62700">
        <w:rPr>
          <w:rFonts w:eastAsia="Times New Roman" w:cs="Times New Roman"/>
          <w:lang w:val="mk-MK" w:eastAsia="mk-MK"/>
        </w:rPr>
        <w:t>чењето</w:t>
      </w:r>
      <w:r w:rsidRPr="000A344F">
        <w:rPr>
          <w:rFonts w:eastAsia="Times New Roman" w:cs="Times New Roman"/>
          <w:lang w:val="mk-MK" w:eastAsia="mk-MK"/>
        </w:rPr>
        <w:t xml:space="preserve"> на управата – кога институциите не одговараат на барања за пристап до информации од јавен карактер во законски утврдениот рок – останува една од на</w:t>
      </w:r>
      <w:r w:rsidR="00F67986">
        <w:rPr>
          <w:rFonts w:eastAsia="Times New Roman" w:cs="Times New Roman"/>
          <w:lang w:val="mk-MK" w:eastAsia="mk-MK"/>
        </w:rPr>
        <w:t>јголемите</w:t>
      </w:r>
      <w:r w:rsidRPr="000A344F">
        <w:rPr>
          <w:rFonts w:eastAsia="Times New Roman" w:cs="Times New Roman"/>
          <w:lang w:val="mk-MK" w:eastAsia="mk-MK"/>
        </w:rPr>
        <w:t xml:space="preserve"> пречки за транспарентно и отчетно владеење во Република Северна Македонија. И покрај јасната правна рамка, бројот на </w:t>
      </w:r>
      <w:r w:rsidR="00F67986">
        <w:rPr>
          <w:rFonts w:eastAsia="Times New Roman" w:cs="Times New Roman"/>
          <w:lang w:val="mk-MK" w:eastAsia="mk-MK"/>
        </w:rPr>
        <w:t xml:space="preserve">примени </w:t>
      </w:r>
      <w:r w:rsidRPr="000A344F">
        <w:rPr>
          <w:rFonts w:eastAsia="Times New Roman" w:cs="Times New Roman"/>
          <w:lang w:val="mk-MK" w:eastAsia="mk-MK"/>
        </w:rPr>
        <w:t>жалби поради мол</w:t>
      </w:r>
      <w:r w:rsidR="00FF6428">
        <w:rPr>
          <w:rFonts w:eastAsia="Times New Roman" w:cs="Times New Roman"/>
          <w:lang w:val="mk-MK" w:eastAsia="mk-MK"/>
        </w:rPr>
        <w:t>чење</w:t>
      </w:r>
      <w:r w:rsidRPr="000A344F">
        <w:rPr>
          <w:rFonts w:eastAsia="Times New Roman" w:cs="Times New Roman"/>
          <w:lang w:val="mk-MK" w:eastAsia="mk-MK"/>
        </w:rPr>
        <w:t xml:space="preserve"> на управата</w:t>
      </w:r>
      <w:r w:rsidR="00A701B1">
        <w:rPr>
          <w:rFonts w:eastAsia="Times New Roman" w:cs="Times New Roman"/>
          <w:lang w:val="mk-MK" w:eastAsia="mk-MK"/>
        </w:rPr>
        <w:t>,</w:t>
      </w:r>
      <w:r w:rsidRPr="000A344F">
        <w:rPr>
          <w:rFonts w:eastAsia="Times New Roman" w:cs="Times New Roman"/>
          <w:lang w:val="mk-MK" w:eastAsia="mk-MK"/>
        </w:rPr>
        <w:t xml:space="preserve"> останува висок и алармантен.</w:t>
      </w:r>
    </w:p>
    <w:p w14:paraId="5C2EB2AF" w14:textId="244F895E" w:rsidR="000A344F" w:rsidRPr="000A344F" w:rsidRDefault="000A344F" w:rsidP="000A344F">
      <w:pPr>
        <w:spacing w:before="100" w:beforeAutospacing="1" w:after="100" w:afterAutospacing="1" w:line="240" w:lineRule="auto"/>
        <w:jc w:val="both"/>
        <w:rPr>
          <w:rFonts w:eastAsia="Times New Roman" w:cs="Times New Roman"/>
          <w:lang w:val="mk-MK" w:eastAsia="mk-MK"/>
        </w:rPr>
      </w:pPr>
      <w:r w:rsidRPr="000A344F">
        <w:rPr>
          <w:rFonts w:eastAsia="Times New Roman" w:cs="Times New Roman"/>
          <w:lang w:val="mk-MK" w:eastAsia="mk-MK"/>
        </w:rPr>
        <w:t xml:space="preserve">Настојувајќи да го следи и разбере овој феномен, Агенцијата изработува тематски аналитички извештаи засновани врз сопствени административни податоци </w:t>
      </w:r>
      <w:r w:rsidR="00A701B1">
        <w:rPr>
          <w:rFonts w:eastAsia="Times New Roman" w:cs="Times New Roman"/>
          <w:lang w:val="mk-MK" w:eastAsia="mk-MK"/>
        </w:rPr>
        <w:t>од</w:t>
      </w:r>
      <w:r w:rsidRPr="000A344F">
        <w:rPr>
          <w:rFonts w:eastAsia="Times New Roman" w:cs="Times New Roman"/>
          <w:lang w:val="mk-MK" w:eastAsia="mk-MK"/>
        </w:rPr>
        <w:t xml:space="preserve"> жалбени</w:t>
      </w:r>
      <w:r w:rsidR="00A701B1">
        <w:rPr>
          <w:rFonts w:eastAsia="Times New Roman" w:cs="Times New Roman"/>
          <w:lang w:val="mk-MK" w:eastAsia="mk-MK"/>
        </w:rPr>
        <w:t>те</w:t>
      </w:r>
      <w:r w:rsidRPr="000A344F">
        <w:rPr>
          <w:rFonts w:eastAsia="Times New Roman" w:cs="Times New Roman"/>
          <w:lang w:val="mk-MK" w:eastAsia="mk-MK"/>
        </w:rPr>
        <w:t xml:space="preserve"> постапки. Тековниот извештај ја опфаќа состојбата за периодот од 1 јануари до 30 јуни 2025 година, нудејќи сеопфатен преглед на бројот, динамиката и структурните карактеристики на жалбите поднесени поради непостапување од страна на институциите</w:t>
      </w:r>
      <w:r w:rsidR="00A701B1">
        <w:rPr>
          <w:rFonts w:eastAsia="Times New Roman" w:cs="Times New Roman"/>
          <w:lang w:val="mk-MK" w:eastAsia="mk-MK"/>
        </w:rPr>
        <w:t>, во законски пропишаниот рок</w:t>
      </w:r>
      <w:r w:rsidRPr="000A344F">
        <w:rPr>
          <w:rFonts w:eastAsia="Times New Roman" w:cs="Times New Roman"/>
          <w:lang w:val="mk-MK" w:eastAsia="mk-MK"/>
        </w:rPr>
        <w:t>.</w:t>
      </w:r>
    </w:p>
    <w:p w14:paraId="6DB2D77D" w14:textId="298AF52F" w:rsidR="000A344F" w:rsidRDefault="000A344F" w:rsidP="000A344F">
      <w:pPr>
        <w:spacing w:before="100" w:beforeAutospacing="1" w:after="100" w:afterAutospacing="1" w:line="240" w:lineRule="auto"/>
        <w:jc w:val="both"/>
        <w:rPr>
          <w:rFonts w:eastAsia="Times New Roman" w:cs="Times New Roman"/>
          <w:lang w:val="mk-MK" w:eastAsia="mk-MK"/>
        </w:rPr>
      </w:pPr>
      <w:r w:rsidRPr="000A344F">
        <w:rPr>
          <w:rFonts w:eastAsia="Times New Roman" w:cs="Times New Roman"/>
          <w:lang w:val="mk-MK" w:eastAsia="mk-MK"/>
        </w:rPr>
        <w:t xml:space="preserve">Целта на овој извештај не </w:t>
      </w:r>
      <w:r w:rsidR="00A701B1">
        <w:rPr>
          <w:rFonts w:eastAsia="Times New Roman" w:cs="Times New Roman"/>
          <w:lang w:val="mk-MK" w:eastAsia="mk-MK"/>
        </w:rPr>
        <w:t xml:space="preserve">е </w:t>
      </w:r>
      <w:r w:rsidRPr="000A344F">
        <w:rPr>
          <w:rFonts w:eastAsia="Times New Roman" w:cs="Times New Roman"/>
          <w:lang w:val="mk-MK" w:eastAsia="mk-MK"/>
        </w:rPr>
        <w:t>само да го документира обемот на мол</w:t>
      </w:r>
      <w:r w:rsidR="00FF6428">
        <w:rPr>
          <w:rFonts w:eastAsia="Times New Roman" w:cs="Times New Roman"/>
          <w:lang w:val="mk-MK" w:eastAsia="mk-MK"/>
        </w:rPr>
        <w:t>чењето</w:t>
      </w:r>
      <w:r w:rsidRPr="000A344F">
        <w:rPr>
          <w:rFonts w:eastAsia="Times New Roman" w:cs="Times New Roman"/>
          <w:lang w:val="mk-MK" w:eastAsia="mk-MK"/>
        </w:rPr>
        <w:t>, туку и да ја анализира суштината на институционалниот однос кон правото на пристап до информации. Исто така, извештајот има за цел да понуди препораки кои ќе го поттикнат унапредувањето на транспарентноста, отчетноста и ефективноста на јавниот сектор.</w:t>
      </w:r>
    </w:p>
    <w:p w14:paraId="69B349E2" w14:textId="77777777" w:rsidR="00B2524A" w:rsidRPr="004A2F0B" w:rsidRDefault="00B2524A" w:rsidP="000A344F">
      <w:pPr>
        <w:spacing w:before="100" w:beforeAutospacing="1" w:after="100" w:afterAutospacing="1" w:line="240" w:lineRule="auto"/>
        <w:jc w:val="both"/>
        <w:rPr>
          <w:rFonts w:eastAsia="Times New Roman" w:cs="Times New Roman"/>
          <w:sz w:val="2"/>
          <w:szCs w:val="2"/>
          <w:lang w:val="mk-MK" w:eastAsia="mk-MK"/>
        </w:rPr>
      </w:pPr>
    </w:p>
    <w:p w14:paraId="0101BA4B" w14:textId="4074D364" w:rsidR="000A344F" w:rsidRPr="00B2524A" w:rsidRDefault="000A344F" w:rsidP="00B2524A">
      <w:pPr>
        <w:pStyle w:val="ListParagraph"/>
        <w:numPr>
          <w:ilvl w:val="0"/>
          <w:numId w:val="6"/>
        </w:numPr>
        <w:spacing w:before="100" w:beforeAutospacing="1" w:after="100" w:afterAutospacing="1" w:line="240" w:lineRule="auto"/>
        <w:jc w:val="both"/>
        <w:outlineLvl w:val="2"/>
        <w:rPr>
          <w:rFonts w:eastAsia="Times New Roman" w:cs="Times New Roman"/>
          <w:b/>
          <w:bCs/>
          <w:sz w:val="27"/>
          <w:szCs w:val="27"/>
          <w:lang w:val="mk-MK" w:eastAsia="mk-MK"/>
        </w:rPr>
      </w:pPr>
      <w:r w:rsidRPr="00B2524A">
        <w:rPr>
          <w:rFonts w:eastAsia="Times New Roman" w:cs="Times New Roman"/>
          <w:b/>
          <w:bCs/>
          <w:sz w:val="27"/>
          <w:szCs w:val="27"/>
          <w:lang w:val="mk-MK" w:eastAsia="mk-MK"/>
        </w:rPr>
        <w:t>ЗАКОНСКА РАМКА И ИНСТИТУЦИОНАЛЕН КОНТЕКСТ</w:t>
      </w:r>
    </w:p>
    <w:p w14:paraId="3A5487AB" w14:textId="77777777" w:rsidR="000A344F" w:rsidRPr="000A344F" w:rsidRDefault="000A344F" w:rsidP="000A344F">
      <w:pPr>
        <w:spacing w:before="100" w:beforeAutospacing="1" w:after="100" w:afterAutospacing="1" w:line="240" w:lineRule="auto"/>
        <w:jc w:val="both"/>
        <w:rPr>
          <w:rFonts w:eastAsia="Times New Roman" w:cs="Times New Roman"/>
          <w:lang w:val="mk-MK" w:eastAsia="mk-MK"/>
        </w:rPr>
      </w:pPr>
      <w:r w:rsidRPr="000A344F">
        <w:rPr>
          <w:rFonts w:eastAsia="Times New Roman" w:cs="Times New Roman"/>
          <w:lang w:val="mk-MK" w:eastAsia="mk-MK"/>
        </w:rPr>
        <w:t>Законот за слободен пристап до информации од јавен карактер („Службен весник на РСМ“ бр. 101/2019) го утврдува правото на секое физичко и правно лице да добие информација од јавен интерес. Според член 21 од Законот, имателот на информацијата е должен веднаш, а најдоцна во рок од 20 дена, да одговори на поднесено барање. Во случаи кога се бара обемна или делумно достапна информација, рокот може да се продолжи до 30 дена, со задолжително писмено известување на барателот во рок од 7 дена.</w:t>
      </w:r>
    </w:p>
    <w:p w14:paraId="57E57C58" w14:textId="347A6233" w:rsidR="000A344F" w:rsidRPr="000A344F" w:rsidRDefault="000A344F" w:rsidP="000A344F">
      <w:pPr>
        <w:spacing w:before="100" w:beforeAutospacing="1" w:after="100" w:afterAutospacing="1" w:line="240" w:lineRule="auto"/>
        <w:jc w:val="both"/>
        <w:rPr>
          <w:rFonts w:eastAsia="Times New Roman" w:cs="Times New Roman"/>
          <w:lang w:val="mk-MK" w:eastAsia="mk-MK"/>
        </w:rPr>
      </w:pPr>
      <w:r w:rsidRPr="000A344F">
        <w:rPr>
          <w:rFonts w:eastAsia="Times New Roman" w:cs="Times New Roman"/>
          <w:lang w:val="mk-MK" w:eastAsia="mk-MK"/>
        </w:rPr>
        <w:t>Непостапувањето во утврдениот рок, без известување, претставува мол</w:t>
      </w:r>
      <w:r w:rsidR="00FF6428">
        <w:rPr>
          <w:rFonts w:eastAsia="Times New Roman" w:cs="Times New Roman"/>
          <w:lang w:val="mk-MK" w:eastAsia="mk-MK"/>
        </w:rPr>
        <w:t>чење</w:t>
      </w:r>
      <w:r w:rsidRPr="000A344F">
        <w:rPr>
          <w:rFonts w:eastAsia="Times New Roman" w:cs="Times New Roman"/>
          <w:lang w:val="mk-MK" w:eastAsia="mk-MK"/>
        </w:rPr>
        <w:t xml:space="preserve"> на управата. Тоа е форма на институционална неактивност што директно го загрозува правото на пристап до информации и создава правна несигурност. Според Законот, </w:t>
      </w:r>
      <w:r w:rsidR="00FF6428">
        <w:rPr>
          <w:rFonts w:eastAsia="Times New Roman" w:cs="Times New Roman"/>
          <w:lang w:val="mk-MK" w:eastAsia="mk-MK"/>
        </w:rPr>
        <w:t xml:space="preserve">во случај на молчење на управата, </w:t>
      </w:r>
      <w:r w:rsidRPr="000A344F">
        <w:rPr>
          <w:rFonts w:eastAsia="Times New Roman" w:cs="Times New Roman"/>
          <w:lang w:val="mk-MK" w:eastAsia="mk-MK"/>
        </w:rPr>
        <w:t xml:space="preserve">барателот има право да </w:t>
      </w:r>
      <w:r w:rsidRPr="000A344F">
        <w:rPr>
          <w:rFonts w:eastAsia="Times New Roman" w:cs="Times New Roman"/>
          <w:lang w:val="mk-MK" w:eastAsia="mk-MK"/>
        </w:rPr>
        <w:lastRenderedPageBreak/>
        <w:t>поднесе жалба до Агенцијата како второстепен орган, во рок од 15 дена по истекот на законскиот рок.</w:t>
      </w:r>
    </w:p>
    <w:p w14:paraId="19E01D61" w14:textId="7FE0B304" w:rsidR="000A344F" w:rsidRPr="000A344F" w:rsidRDefault="000A344F" w:rsidP="000A344F">
      <w:pPr>
        <w:spacing w:before="100" w:beforeAutospacing="1" w:after="100" w:afterAutospacing="1" w:line="240" w:lineRule="auto"/>
        <w:jc w:val="both"/>
        <w:rPr>
          <w:rFonts w:eastAsia="Times New Roman" w:cs="Times New Roman"/>
          <w:lang w:val="mk-MK" w:eastAsia="mk-MK"/>
        </w:rPr>
      </w:pPr>
      <w:r w:rsidRPr="000A344F">
        <w:rPr>
          <w:rFonts w:eastAsia="Times New Roman" w:cs="Times New Roman"/>
          <w:lang w:val="mk-MK" w:eastAsia="mk-MK"/>
        </w:rPr>
        <w:t xml:space="preserve">Агенцијата, </w:t>
      </w:r>
      <w:r w:rsidR="00FF6428">
        <w:rPr>
          <w:rFonts w:eastAsia="Times New Roman" w:cs="Times New Roman"/>
          <w:lang w:val="mk-MK" w:eastAsia="mk-MK"/>
        </w:rPr>
        <w:t>постапувајќи по поднесена жалба</w:t>
      </w:r>
      <w:r w:rsidRPr="000A344F">
        <w:rPr>
          <w:rFonts w:eastAsia="Times New Roman" w:cs="Times New Roman"/>
          <w:lang w:val="mk-MK" w:eastAsia="mk-MK"/>
        </w:rPr>
        <w:t xml:space="preserve">, поведува управна постапка, </w:t>
      </w:r>
      <w:r w:rsidR="00FF6428">
        <w:rPr>
          <w:rFonts w:eastAsia="Times New Roman" w:cs="Times New Roman"/>
          <w:lang w:val="mk-MK" w:eastAsia="mk-MK"/>
        </w:rPr>
        <w:t xml:space="preserve">на начин што најпрво </w:t>
      </w:r>
      <w:r w:rsidRPr="000A344F">
        <w:rPr>
          <w:rFonts w:eastAsia="Times New Roman" w:cs="Times New Roman"/>
          <w:lang w:val="mk-MK" w:eastAsia="mk-MK"/>
        </w:rPr>
        <w:t>бара произнесување од имателот</w:t>
      </w:r>
      <w:r w:rsidR="00FF6428">
        <w:rPr>
          <w:rFonts w:eastAsia="Times New Roman" w:cs="Times New Roman"/>
          <w:lang w:val="mk-MK" w:eastAsia="mk-MK"/>
        </w:rPr>
        <w:t xml:space="preserve"> и имајќи ги во предвид сите докази во предметот</w:t>
      </w:r>
      <w:r w:rsidR="00A62700">
        <w:rPr>
          <w:rFonts w:eastAsia="Times New Roman" w:cs="Times New Roman"/>
          <w:lang w:val="en-US" w:eastAsia="mk-MK"/>
        </w:rPr>
        <w:t xml:space="preserve"> </w:t>
      </w:r>
      <w:r w:rsidR="00A62700">
        <w:rPr>
          <w:rFonts w:eastAsia="Times New Roman" w:cs="Times New Roman"/>
          <w:lang w:val="mk-MK" w:eastAsia="mk-MK"/>
        </w:rPr>
        <w:t>носи соодветно решение</w:t>
      </w:r>
      <w:r w:rsidR="00FF6428">
        <w:rPr>
          <w:rFonts w:eastAsia="Times New Roman" w:cs="Times New Roman"/>
          <w:lang w:val="mk-MK" w:eastAsia="mk-MK"/>
        </w:rPr>
        <w:t xml:space="preserve">, </w:t>
      </w:r>
      <w:r w:rsidR="00A62700">
        <w:rPr>
          <w:rFonts w:eastAsia="Times New Roman" w:cs="Times New Roman"/>
          <w:lang w:val="mk-MK" w:eastAsia="mk-MK"/>
        </w:rPr>
        <w:t>кое</w:t>
      </w:r>
      <w:r w:rsidR="00FF6428">
        <w:rPr>
          <w:rFonts w:eastAsia="Times New Roman" w:cs="Times New Roman"/>
          <w:lang w:val="mk-MK" w:eastAsia="mk-MK"/>
        </w:rPr>
        <w:t xml:space="preserve"> во случај на молчење на управата,</w:t>
      </w:r>
      <w:r w:rsidRPr="000A344F">
        <w:rPr>
          <w:rFonts w:eastAsia="Times New Roman" w:cs="Times New Roman"/>
          <w:lang w:val="mk-MK" w:eastAsia="mk-MK"/>
        </w:rPr>
        <w:t xml:space="preserve"> </w:t>
      </w:r>
      <w:r w:rsidR="00A62700">
        <w:rPr>
          <w:rFonts w:eastAsia="Times New Roman" w:cs="Times New Roman"/>
          <w:lang w:val="mk-MK" w:eastAsia="mk-MK"/>
        </w:rPr>
        <w:t>најчесто е</w:t>
      </w:r>
      <w:r w:rsidRPr="000A344F">
        <w:rPr>
          <w:rFonts w:eastAsia="Times New Roman" w:cs="Times New Roman"/>
          <w:lang w:val="mk-MK" w:eastAsia="mk-MK"/>
        </w:rPr>
        <w:t xml:space="preserve"> решение со кое </w:t>
      </w:r>
      <w:r w:rsidR="00FF6428">
        <w:rPr>
          <w:rFonts w:eastAsia="Times New Roman" w:cs="Times New Roman"/>
          <w:lang w:val="mk-MK" w:eastAsia="mk-MK"/>
        </w:rPr>
        <w:t xml:space="preserve">жалбата </w:t>
      </w:r>
      <w:r w:rsidR="00A62700">
        <w:rPr>
          <w:rFonts w:eastAsia="Times New Roman" w:cs="Times New Roman"/>
          <w:lang w:val="mk-MK" w:eastAsia="mk-MK"/>
        </w:rPr>
        <w:t>се</w:t>
      </w:r>
      <w:r w:rsidR="00FF6428">
        <w:rPr>
          <w:rFonts w:eastAsia="Times New Roman" w:cs="Times New Roman"/>
          <w:lang w:val="mk-MK" w:eastAsia="mk-MK"/>
        </w:rPr>
        <w:t xml:space="preserve"> уважува и </w:t>
      </w:r>
      <w:r w:rsidR="00A62700">
        <w:rPr>
          <w:rFonts w:eastAsia="Times New Roman" w:cs="Times New Roman"/>
          <w:lang w:val="mk-MK" w:eastAsia="mk-MK"/>
        </w:rPr>
        <w:t>на имателот на информации</w:t>
      </w:r>
      <w:r w:rsidR="00A62700" w:rsidRPr="000A344F">
        <w:rPr>
          <w:rFonts w:eastAsia="Times New Roman" w:cs="Times New Roman"/>
          <w:lang w:val="mk-MK" w:eastAsia="mk-MK"/>
        </w:rPr>
        <w:t xml:space="preserve"> </w:t>
      </w:r>
      <w:r w:rsidR="00FF6428">
        <w:rPr>
          <w:rFonts w:eastAsia="Times New Roman" w:cs="Times New Roman"/>
          <w:lang w:val="mk-MK" w:eastAsia="mk-MK"/>
        </w:rPr>
        <w:t xml:space="preserve">му </w:t>
      </w:r>
      <w:r w:rsidR="00A62700">
        <w:rPr>
          <w:rFonts w:eastAsia="Times New Roman" w:cs="Times New Roman"/>
          <w:lang w:val="mk-MK" w:eastAsia="mk-MK"/>
        </w:rPr>
        <w:t xml:space="preserve">се </w:t>
      </w:r>
      <w:r w:rsidR="00FF6428">
        <w:rPr>
          <w:rFonts w:eastAsia="Times New Roman" w:cs="Times New Roman"/>
          <w:lang w:val="mk-MK" w:eastAsia="mk-MK"/>
        </w:rPr>
        <w:t xml:space="preserve">наложува </w:t>
      </w:r>
      <w:r w:rsidRPr="000A344F">
        <w:rPr>
          <w:rFonts w:eastAsia="Times New Roman" w:cs="Times New Roman"/>
          <w:lang w:val="mk-MK" w:eastAsia="mk-MK"/>
        </w:rPr>
        <w:t>да постапи по барањето. Имателот има рок од 15 дена да ја исполни оваа обврска и да го извести барателот и Агенцијата. Овие механизми, предвидени со Законот за општа управна постапка, се клучни за обезбедување на законитоста и заштитата на јавниот интерес.</w:t>
      </w:r>
    </w:p>
    <w:p w14:paraId="45D3CACF" w14:textId="48B0CDE8" w:rsidR="000A344F" w:rsidRDefault="00572A8F" w:rsidP="000A344F">
      <w:pPr>
        <w:spacing w:before="100" w:beforeAutospacing="1" w:after="100" w:afterAutospacing="1" w:line="240" w:lineRule="auto"/>
        <w:jc w:val="both"/>
        <w:rPr>
          <w:rFonts w:eastAsia="Times New Roman" w:cs="Times New Roman"/>
          <w:lang w:val="mk-MK" w:eastAsia="mk-MK"/>
        </w:rPr>
      </w:pPr>
      <w:r w:rsidRPr="00572A8F">
        <w:rPr>
          <w:rFonts w:eastAsia="Times New Roman" w:cs="Times New Roman"/>
          <w:lang w:val="mk-MK" w:eastAsia="mk-MK"/>
        </w:rPr>
        <w:t>Имајќи го во предвид високиот процет на жалби поднесени поради молчењето на управата</w:t>
      </w:r>
      <w:r>
        <w:rPr>
          <w:rFonts w:eastAsia="Times New Roman" w:cs="Times New Roman"/>
          <w:lang w:val="mk-MK" w:eastAsia="mk-MK"/>
        </w:rPr>
        <w:t>,</w:t>
      </w:r>
      <w:r w:rsidRPr="00572A8F">
        <w:rPr>
          <w:rFonts w:eastAsia="Times New Roman" w:cs="Times New Roman"/>
          <w:lang w:val="mk-MK" w:eastAsia="mk-MK"/>
        </w:rPr>
        <w:t xml:space="preserve"> </w:t>
      </w:r>
      <w:r w:rsidR="000A344F" w:rsidRPr="000A344F">
        <w:rPr>
          <w:rFonts w:eastAsia="Times New Roman" w:cs="Times New Roman"/>
          <w:lang w:val="mk-MK" w:eastAsia="mk-MK"/>
        </w:rPr>
        <w:t>Агенцијата воспостави системска практика на подготвување на аналитички извештаи посветени на мол</w:t>
      </w:r>
      <w:r>
        <w:rPr>
          <w:rFonts w:eastAsia="Times New Roman" w:cs="Times New Roman"/>
          <w:lang w:val="mk-MK" w:eastAsia="mk-MK"/>
        </w:rPr>
        <w:t>чењето</w:t>
      </w:r>
      <w:r w:rsidR="000A344F" w:rsidRPr="000A344F">
        <w:rPr>
          <w:rFonts w:eastAsia="Times New Roman" w:cs="Times New Roman"/>
          <w:lang w:val="mk-MK" w:eastAsia="mk-MK"/>
        </w:rPr>
        <w:t xml:space="preserve"> на управата. Овие извештаи служат како инструмент за мониторинг, подиг</w:t>
      </w:r>
      <w:r w:rsidR="00E55E74">
        <w:rPr>
          <w:rFonts w:eastAsia="Times New Roman" w:cs="Times New Roman"/>
          <w:lang w:val="mk-MK" w:eastAsia="mk-MK"/>
        </w:rPr>
        <w:t>нув</w:t>
      </w:r>
      <w:r w:rsidR="000A344F" w:rsidRPr="000A344F">
        <w:rPr>
          <w:rFonts w:eastAsia="Times New Roman" w:cs="Times New Roman"/>
          <w:lang w:val="mk-MK" w:eastAsia="mk-MK"/>
        </w:rPr>
        <w:t xml:space="preserve">ање на јавната свест и за предлози за реформи во </w:t>
      </w:r>
      <w:r>
        <w:rPr>
          <w:rFonts w:eastAsia="Times New Roman" w:cs="Times New Roman"/>
          <w:lang w:val="mk-MK" w:eastAsia="mk-MK"/>
        </w:rPr>
        <w:t xml:space="preserve">оваа негативна </w:t>
      </w:r>
      <w:r w:rsidR="000A344F" w:rsidRPr="000A344F">
        <w:rPr>
          <w:rFonts w:eastAsia="Times New Roman" w:cs="Times New Roman"/>
          <w:lang w:val="mk-MK" w:eastAsia="mk-MK"/>
        </w:rPr>
        <w:t>пракса. Нивната улога во идентификување на институционалните слабости и поттикнување на одговорноста е од суштинско значење за доброто владеење и демократскиот развој.</w:t>
      </w:r>
    </w:p>
    <w:p w14:paraId="6ECAC321" w14:textId="77777777" w:rsidR="00B2524A" w:rsidRPr="004A2F0B" w:rsidRDefault="00B2524A" w:rsidP="000A344F">
      <w:pPr>
        <w:spacing w:before="100" w:beforeAutospacing="1" w:after="100" w:afterAutospacing="1" w:line="240" w:lineRule="auto"/>
        <w:jc w:val="both"/>
        <w:rPr>
          <w:rFonts w:eastAsia="Times New Roman" w:cs="Times New Roman"/>
          <w:sz w:val="2"/>
          <w:szCs w:val="2"/>
          <w:lang w:val="mk-MK" w:eastAsia="mk-MK"/>
        </w:rPr>
      </w:pPr>
    </w:p>
    <w:p w14:paraId="28BA672E" w14:textId="43057BFC" w:rsidR="000A344F" w:rsidRPr="00B2524A" w:rsidRDefault="00B2524A" w:rsidP="00B2524A">
      <w:pPr>
        <w:pStyle w:val="ListParagraph"/>
        <w:numPr>
          <w:ilvl w:val="0"/>
          <w:numId w:val="6"/>
        </w:numPr>
        <w:spacing w:before="100" w:beforeAutospacing="1" w:after="100" w:afterAutospacing="1" w:line="240" w:lineRule="auto"/>
        <w:jc w:val="both"/>
        <w:outlineLvl w:val="2"/>
        <w:rPr>
          <w:rFonts w:eastAsia="Times New Roman" w:cs="Times New Roman"/>
          <w:b/>
          <w:bCs/>
          <w:sz w:val="27"/>
          <w:szCs w:val="27"/>
          <w:lang w:val="mk-MK" w:eastAsia="mk-MK"/>
        </w:rPr>
      </w:pPr>
      <w:proofErr w:type="spellStart"/>
      <w:r w:rsidRPr="00B2524A">
        <w:rPr>
          <w:b/>
          <w:bCs/>
          <w:sz w:val="27"/>
          <w:szCs w:val="27"/>
        </w:rPr>
        <w:t>Анализа</w:t>
      </w:r>
      <w:proofErr w:type="spellEnd"/>
      <w:r w:rsidRPr="00B2524A">
        <w:rPr>
          <w:b/>
          <w:bCs/>
          <w:sz w:val="27"/>
          <w:szCs w:val="27"/>
        </w:rPr>
        <w:t xml:space="preserve"> </w:t>
      </w:r>
      <w:proofErr w:type="spellStart"/>
      <w:r w:rsidRPr="00B2524A">
        <w:rPr>
          <w:b/>
          <w:bCs/>
          <w:sz w:val="27"/>
          <w:szCs w:val="27"/>
        </w:rPr>
        <w:t>на</w:t>
      </w:r>
      <w:proofErr w:type="spellEnd"/>
      <w:r w:rsidRPr="00B2524A">
        <w:rPr>
          <w:b/>
          <w:bCs/>
          <w:sz w:val="27"/>
          <w:szCs w:val="27"/>
        </w:rPr>
        <w:t xml:space="preserve"> </w:t>
      </w:r>
      <w:proofErr w:type="spellStart"/>
      <w:r w:rsidRPr="00B2524A">
        <w:rPr>
          <w:b/>
          <w:bCs/>
          <w:sz w:val="27"/>
          <w:szCs w:val="27"/>
        </w:rPr>
        <w:t>бројот</w:t>
      </w:r>
      <w:proofErr w:type="spellEnd"/>
      <w:r w:rsidRPr="00B2524A">
        <w:rPr>
          <w:b/>
          <w:bCs/>
          <w:sz w:val="27"/>
          <w:szCs w:val="27"/>
        </w:rPr>
        <w:t xml:space="preserve"> и </w:t>
      </w:r>
      <w:proofErr w:type="spellStart"/>
      <w:r w:rsidRPr="00B2524A">
        <w:rPr>
          <w:b/>
          <w:bCs/>
          <w:sz w:val="27"/>
          <w:szCs w:val="27"/>
        </w:rPr>
        <w:t>карактерот</w:t>
      </w:r>
      <w:proofErr w:type="spellEnd"/>
      <w:r w:rsidRPr="00B2524A">
        <w:rPr>
          <w:b/>
          <w:bCs/>
          <w:sz w:val="27"/>
          <w:szCs w:val="27"/>
        </w:rPr>
        <w:t xml:space="preserve"> </w:t>
      </w:r>
      <w:proofErr w:type="spellStart"/>
      <w:r w:rsidRPr="00B2524A">
        <w:rPr>
          <w:b/>
          <w:bCs/>
          <w:sz w:val="27"/>
          <w:szCs w:val="27"/>
        </w:rPr>
        <w:t>на</w:t>
      </w:r>
      <w:proofErr w:type="spellEnd"/>
      <w:r w:rsidRPr="00B2524A">
        <w:rPr>
          <w:b/>
          <w:bCs/>
          <w:sz w:val="27"/>
          <w:szCs w:val="27"/>
        </w:rPr>
        <w:t xml:space="preserve"> </w:t>
      </w:r>
      <w:proofErr w:type="spellStart"/>
      <w:r w:rsidRPr="00B2524A">
        <w:rPr>
          <w:b/>
          <w:bCs/>
          <w:sz w:val="27"/>
          <w:szCs w:val="27"/>
        </w:rPr>
        <w:t>жалбите</w:t>
      </w:r>
      <w:proofErr w:type="spellEnd"/>
      <w:r w:rsidRPr="00B2524A">
        <w:rPr>
          <w:b/>
          <w:bCs/>
          <w:sz w:val="27"/>
          <w:szCs w:val="27"/>
        </w:rPr>
        <w:t xml:space="preserve"> </w:t>
      </w:r>
      <w:proofErr w:type="spellStart"/>
      <w:r w:rsidRPr="00B2524A">
        <w:rPr>
          <w:b/>
          <w:bCs/>
          <w:sz w:val="27"/>
          <w:szCs w:val="27"/>
        </w:rPr>
        <w:t>поради</w:t>
      </w:r>
      <w:proofErr w:type="spellEnd"/>
      <w:r w:rsidRPr="00B2524A">
        <w:rPr>
          <w:b/>
          <w:bCs/>
          <w:sz w:val="27"/>
          <w:szCs w:val="27"/>
        </w:rPr>
        <w:t xml:space="preserve"> </w:t>
      </w:r>
      <w:proofErr w:type="spellStart"/>
      <w:r w:rsidRPr="00B2524A">
        <w:rPr>
          <w:b/>
          <w:bCs/>
          <w:sz w:val="27"/>
          <w:szCs w:val="27"/>
        </w:rPr>
        <w:t>мол</w:t>
      </w:r>
      <w:proofErr w:type="spellEnd"/>
      <w:r w:rsidR="00572A8F">
        <w:rPr>
          <w:b/>
          <w:bCs/>
          <w:sz w:val="27"/>
          <w:szCs w:val="27"/>
          <w:lang w:val="mk-MK"/>
        </w:rPr>
        <w:t>чењето</w:t>
      </w:r>
      <w:r w:rsidRPr="00B2524A">
        <w:rPr>
          <w:b/>
          <w:bCs/>
          <w:sz w:val="27"/>
          <w:szCs w:val="27"/>
        </w:rPr>
        <w:t xml:space="preserve"> </w:t>
      </w:r>
      <w:proofErr w:type="spellStart"/>
      <w:r w:rsidRPr="00B2524A">
        <w:rPr>
          <w:b/>
          <w:bCs/>
          <w:sz w:val="27"/>
          <w:szCs w:val="27"/>
        </w:rPr>
        <w:t>на</w:t>
      </w:r>
      <w:proofErr w:type="spellEnd"/>
      <w:r w:rsidRPr="00B2524A">
        <w:rPr>
          <w:b/>
          <w:bCs/>
          <w:sz w:val="27"/>
          <w:szCs w:val="27"/>
        </w:rPr>
        <w:t xml:space="preserve"> </w:t>
      </w:r>
      <w:proofErr w:type="spellStart"/>
      <w:r w:rsidRPr="00B2524A">
        <w:rPr>
          <w:b/>
          <w:bCs/>
          <w:sz w:val="27"/>
          <w:szCs w:val="27"/>
        </w:rPr>
        <w:t>управата</w:t>
      </w:r>
      <w:proofErr w:type="spellEnd"/>
      <w:r w:rsidRPr="00B2524A">
        <w:rPr>
          <w:b/>
          <w:bCs/>
          <w:sz w:val="27"/>
          <w:szCs w:val="27"/>
        </w:rPr>
        <w:t xml:space="preserve"> (1 </w:t>
      </w:r>
      <w:proofErr w:type="spellStart"/>
      <w:r w:rsidRPr="00B2524A">
        <w:rPr>
          <w:b/>
          <w:bCs/>
          <w:sz w:val="27"/>
          <w:szCs w:val="27"/>
        </w:rPr>
        <w:t>јануари</w:t>
      </w:r>
      <w:proofErr w:type="spellEnd"/>
      <w:r w:rsidRPr="00B2524A">
        <w:rPr>
          <w:b/>
          <w:bCs/>
          <w:sz w:val="27"/>
          <w:szCs w:val="27"/>
        </w:rPr>
        <w:t xml:space="preserve"> – 30 </w:t>
      </w:r>
      <w:proofErr w:type="spellStart"/>
      <w:r w:rsidRPr="00B2524A">
        <w:rPr>
          <w:b/>
          <w:bCs/>
          <w:sz w:val="27"/>
          <w:szCs w:val="27"/>
        </w:rPr>
        <w:t>јуни</w:t>
      </w:r>
      <w:proofErr w:type="spellEnd"/>
      <w:r w:rsidRPr="00B2524A">
        <w:rPr>
          <w:b/>
          <w:bCs/>
          <w:sz w:val="27"/>
          <w:szCs w:val="27"/>
        </w:rPr>
        <w:t xml:space="preserve"> 2025)</w:t>
      </w:r>
    </w:p>
    <w:p w14:paraId="121518D8" w14:textId="4D9F7C9F" w:rsidR="000A344F" w:rsidRPr="000A344F" w:rsidRDefault="000A344F" w:rsidP="000A344F">
      <w:pPr>
        <w:spacing w:before="100" w:beforeAutospacing="1" w:after="100" w:afterAutospacing="1" w:line="240" w:lineRule="auto"/>
        <w:jc w:val="both"/>
        <w:rPr>
          <w:rFonts w:eastAsia="Times New Roman" w:cs="Times New Roman"/>
          <w:lang w:val="mk-MK" w:eastAsia="mk-MK"/>
        </w:rPr>
      </w:pPr>
      <w:r w:rsidRPr="000A344F">
        <w:rPr>
          <w:rFonts w:eastAsia="Times New Roman" w:cs="Times New Roman"/>
          <w:lang w:val="mk-MK" w:eastAsia="mk-MK"/>
        </w:rPr>
        <w:t xml:space="preserve">Во </w:t>
      </w:r>
      <w:r w:rsidR="00B2524A">
        <w:rPr>
          <w:rFonts w:eastAsia="Times New Roman" w:cs="Times New Roman"/>
          <w:lang w:val="mk-MK" w:eastAsia="mk-MK"/>
        </w:rPr>
        <w:t>анализираниот период</w:t>
      </w:r>
      <w:r w:rsidRPr="000A344F">
        <w:rPr>
          <w:rFonts w:eastAsia="Times New Roman" w:cs="Times New Roman"/>
          <w:lang w:val="mk-MK" w:eastAsia="mk-MK"/>
        </w:rPr>
        <w:t>,</w:t>
      </w:r>
      <w:r w:rsidR="00B2524A">
        <w:rPr>
          <w:rFonts w:eastAsia="Times New Roman" w:cs="Times New Roman"/>
          <w:lang w:val="mk-MK" w:eastAsia="mk-MK"/>
        </w:rPr>
        <w:t xml:space="preserve"> </w:t>
      </w:r>
      <w:r w:rsidRPr="000A344F">
        <w:rPr>
          <w:rFonts w:eastAsia="Times New Roman" w:cs="Times New Roman"/>
          <w:lang w:val="mk-MK" w:eastAsia="mk-MK"/>
        </w:rPr>
        <w:t xml:space="preserve">до Агенцијата се поднесени вкупно </w:t>
      </w:r>
      <w:r w:rsidRPr="00BC286C">
        <w:rPr>
          <w:rFonts w:eastAsia="Times New Roman" w:cs="Times New Roman"/>
          <w:b/>
          <w:bCs/>
          <w:lang w:val="mk-MK" w:eastAsia="mk-MK"/>
        </w:rPr>
        <w:t>3</w:t>
      </w:r>
      <w:r w:rsidR="00763C17" w:rsidRPr="00BC286C">
        <w:rPr>
          <w:rFonts w:eastAsia="Times New Roman" w:cs="Times New Roman"/>
          <w:b/>
          <w:bCs/>
          <w:lang w:val="mk-MK" w:eastAsia="mk-MK"/>
        </w:rPr>
        <w:t>3</w:t>
      </w:r>
      <w:r w:rsidR="00572A8F">
        <w:rPr>
          <w:rFonts w:eastAsia="Times New Roman" w:cs="Times New Roman"/>
          <w:b/>
          <w:bCs/>
          <w:lang w:val="mk-MK" w:eastAsia="mk-MK"/>
        </w:rPr>
        <w:t xml:space="preserve">3 </w:t>
      </w:r>
      <w:r w:rsidRPr="000A344F">
        <w:rPr>
          <w:rFonts w:eastAsia="Times New Roman" w:cs="Times New Roman"/>
          <w:lang w:val="mk-MK" w:eastAsia="mk-MK"/>
        </w:rPr>
        <w:t xml:space="preserve">жалби, од кои дури </w:t>
      </w:r>
      <w:r w:rsidRPr="00BC286C">
        <w:rPr>
          <w:rFonts w:eastAsia="Times New Roman" w:cs="Times New Roman"/>
          <w:b/>
          <w:bCs/>
          <w:lang w:val="mk-MK" w:eastAsia="mk-MK"/>
        </w:rPr>
        <w:t>2</w:t>
      </w:r>
      <w:r w:rsidR="00763C17" w:rsidRPr="00BC286C">
        <w:rPr>
          <w:rFonts w:eastAsia="Times New Roman" w:cs="Times New Roman"/>
          <w:b/>
          <w:bCs/>
          <w:lang w:val="mk-MK" w:eastAsia="mk-MK"/>
        </w:rPr>
        <w:t>34</w:t>
      </w:r>
      <w:r w:rsidRPr="000A344F">
        <w:rPr>
          <w:rFonts w:eastAsia="Times New Roman" w:cs="Times New Roman"/>
          <w:b/>
          <w:bCs/>
          <w:lang w:val="mk-MK" w:eastAsia="mk-MK"/>
        </w:rPr>
        <w:t xml:space="preserve"> </w:t>
      </w:r>
      <w:r w:rsidRPr="000A344F">
        <w:rPr>
          <w:rFonts w:eastAsia="Times New Roman" w:cs="Times New Roman"/>
          <w:lang w:val="mk-MK" w:eastAsia="mk-MK"/>
        </w:rPr>
        <w:t xml:space="preserve">– или </w:t>
      </w:r>
      <w:r w:rsidR="00763C17" w:rsidRPr="00BC286C">
        <w:rPr>
          <w:rFonts w:eastAsia="Times New Roman" w:cs="Times New Roman"/>
          <w:b/>
          <w:bCs/>
          <w:lang w:val="mk-MK" w:eastAsia="mk-MK"/>
        </w:rPr>
        <w:t>70</w:t>
      </w:r>
      <w:r w:rsidR="00D27CB0">
        <w:rPr>
          <w:rFonts w:eastAsia="Times New Roman" w:cs="Times New Roman"/>
          <w:b/>
          <w:bCs/>
          <w:lang w:val="mk-MK" w:eastAsia="mk-MK"/>
        </w:rPr>
        <w:t>,</w:t>
      </w:r>
      <w:r w:rsidR="00572A8F">
        <w:rPr>
          <w:rFonts w:eastAsia="Times New Roman" w:cs="Times New Roman"/>
          <w:b/>
          <w:bCs/>
          <w:lang w:val="mk-MK" w:eastAsia="mk-MK"/>
        </w:rPr>
        <w:t>27</w:t>
      </w:r>
      <w:r w:rsidRPr="00BC286C">
        <w:rPr>
          <w:rFonts w:eastAsia="Times New Roman" w:cs="Times New Roman"/>
          <w:b/>
          <w:bCs/>
          <w:lang w:val="mk-MK" w:eastAsia="mk-MK"/>
        </w:rPr>
        <w:t>%</w:t>
      </w:r>
      <w:r w:rsidRPr="0083757A">
        <w:rPr>
          <w:rFonts w:eastAsia="Times New Roman" w:cs="Times New Roman"/>
          <w:color w:val="FF0000"/>
          <w:lang w:val="mk-MK" w:eastAsia="mk-MK"/>
        </w:rPr>
        <w:t xml:space="preserve"> </w:t>
      </w:r>
      <w:r w:rsidRPr="000A344F">
        <w:rPr>
          <w:rFonts w:eastAsia="Times New Roman" w:cs="Times New Roman"/>
          <w:lang w:val="mk-MK" w:eastAsia="mk-MK"/>
        </w:rPr>
        <w:t>– се однесуваат на мол</w:t>
      </w:r>
      <w:r w:rsidR="00D27CB0">
        <w:rPr>
          <w:rFonts w:eastAsia="Times New Roman" w:cs="Times New Roman"/>
          <w:lang w:val="mk-MK" w:eastAsia="mk-MK"/>
        </w:rPr>
        <w:t>чењето</w:t>
      </w:r>
      <w:r w:rsidRPr="000A344F">
        <w:rPr>
          <w:rFonts w:eastAsia="Times New Roman" w:cs="Times New Roman"/>
          <w:lang w:val="mk-MK" w:eastAsia="mk-MK"/>
        </w:rPr>
        <w:t xml:space="preserve"> на управата, односно на непостапување по барања за пристап до информации од јавен карактер во предвидениот</w:t>
      </w:r>
      <w:r w:rsidR="009B5456">
        <w:rPr>
          <w:rFonts w:eastAsia="Times New Roman" w:cs="Times New Roman"/>
          <w:lang w:val="mk-MK" w:eastAsia="mk-MK"/>
        </w:rPr>
        <w:t xml:space="preserve"> законски </w:t>
      </w:r>
      <w:r w:rsidRPr="000A344F">
        <w:rPr>
          <w:rFonts w:eastAsia="Times New Roman" w:cs="Times New Roman"/>
          <w:lang w:val="mk-MK" w:eastAsia="mk-MK"/>
        </w:rPr>
        <w:t>рок. Овие податоци претставуваат континуитет на загрижувачкиот тренд забележан и во претходните години и укажуваат на потребата од системски интервенции.</w:t>
      </w:r>
    </w:p>
    <w:p w14:paraId="4E66D4BC" w14:textId="226580FC" w:rsidR="000A344F" w:rsidRDefault="000A344F" w:rsidP="000A344F">
      <w:pPr>
        <w:spacing w:before="100" w:beforeAutospacing="1" w:after="100" w:afterAutospacing="1" w:line="240" w:lineRule="auto"/>
        <w:jc w:val="both"/>
        <w:outlineLvl w:val="3"/>
        <w:rPr>
          <w:rFonts w:eastAsia="Times New Roman" w:cs="Times New Roman"/>
          <w:b/>
          <w:bCs/>
          <w:lang w:val="mk-MK" w:eastAsia="mk-MK"/>
        </w:rPr>
      </w:pPr>
      <w:r w:rsidRPr="000A344F">
        <w:rPr>
          <w:rFonts w:eastAsia="Times New Roman" w:cs="Times New Roman"/>
          <w:b/>
          <w:bCs/>
          <w:lang w:val="mk-MK" w:eastAsia="mk-MK"/>
        </w:rPr>
        <w:t>Институции со најголем број жалби поради мол</w:t>
      </w:r>
      <w:r w:rsidR="00D27CB0">
        <w:rPr>
          <w:rFonts w:eastAsia="Times New Roman" w:cs="Times New Roman"/>
          <w:b/>
          <w:bCs/>
          <w:lang w:val="mk-MK" w:eastAsia="mk-MK"/>
        </w:rPr>
        <w:t>чење</w:t>
      </w:r>
      <w:r w:rsidRPr="000A344F">
        <w:rPr>
          <w:rFonts w:eastAsia="Times New Roman" w:cs="Times New Roman"/>
          <w:b/>
          <w:bCs/>
          <w:lang w:val="mk-MK" w:eastAsia="mk-MK"/>
        </w:rPr>
        <w:t>:</w:t>
      </w:r>
    </w:p>
    <w:p w14:paraId="3FA0990E" w14:textId="77777777" w:rsidR="00D27CB0" w:rsidRPr="000A344F" w:rsidRDefault="00D27CB0" w:rsidP="00D27CB0">
      <w:pPr>
        <w:spacing w:before="100" w:beforeAutospacing="1" w:after="100" w:afterAutospacing="1" w:line="240" w:lineRule="auto"/>
        <w:jc w:val="both"/>
        <w:outlineLvl w:val="3"/>
        <w:rPr>
          <w:rFonts w:eastAsia="Times New Roman" w:cs="Times New Roman"/>
          <w:b/>
          <w:bCs/>
          <w:lang w:val="mk-MK" w:eastAsia="mk-MK"/>
        </w:rPr>
      </w:pPr>
      <w:r>
        <w:rPr>
          <w:rFonts w:eastAsia="Times New Roman" w:cs="Times New Roman"/>
          <w:b/>
          <w:bCs/>
          <w:lang w:val="mk-MK" w:eastAsia="mk-MK"/>
        </w:rPr>
        <w:t>Во периодот од 01.01.2025 година до 30.06.2025 година, најмногу жалби се поднесени против следните институции:</w:t>
      </w:r>
    </w:p>
    <w:p w14:paraId="0F1C957E" w14:textId="77777777" w:rsidR="00D27CB0" w:rsidRPr="00D27CB0" w:rsidRDefault="00D27CB0" w:rsidP="00D27CB0">
      <w:pPr>
        <w:numPr>
          <w:ilvl w:val="0"/>
          <w:numId w:val="1"/>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t>Против Министерство за финансии – од вкупно 51 жалба, 48 жалби се поради молчење на управата,</w:t>
      </w:r>
    </w:p>
    <w:p w14:paraId="569FA95C" w14:textId="20A0DF6C" w:rsidR="00D27CB0" w:rsidRPr="00D27CB0" w:rsidRDefault="00A62700" w:rsidP="00D27CB0">
      <w:pPr>
        <w:numPr>
          <w:ilvl w:val="0"/>
          <w:numId w:val="1"/>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t xml:space="preserve">Против </w:t>
      </w:r>
      <w:r w:rsidR="00D27CB0" w:rsidRPr="00D27CB0">
        <w:rPr>
          <w:rFonts w:eastAsia="Times New Roman" w:cs="Times New Roman"/>
          <w:lang w:val="mk-MK" w:eastAsia="mk-MK"/>
        </w:rPr>
        <w:t>Општина Долнени – 16 и сите поради молчење,</w:t>
      </w:r>
    </w:p>
    <w:p w14:paraId="46311D2A" w14:textId="020A69F5" w:rsidR="00D27CB0" w:rsidRPr="00D27CB0" w:rsidRDefault="00A62700" w:rsidP="00D27CB0">
      <w:pPr>
        <w:numPr>
          <w:ilvl w:val="0"/>
          <w:numId w:val="1"/>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lastRenderedPageBreak/>
        <w:t xml:space="preserve">Против </w:t>
      </w:r>
      <w:r w:rsidR="00D27CB0" w:rsidRPr="00D27CB0">
        <w:rPr>
          <w:rFonts w:eastAsia="Times New Roman" w:cs="Times New Roman"/>
          <w:lang w:val="mk-MK" w:eastAsia="mk-MK"/>
        </w:rPr>
        <w:t>Град Скопје – од вкупно 13, 9 жалби се поднесени поради молчење,</w:t>
      </w:r>
    </w:p>
    <w:p w14:paraId="6538BFEE" w14:textId="723E1654" w:rsidR="00D27CB0" w:rsidRPr="00D27CB0" w:rsidRDefault="00A62700" w:rsidP="00D27CB0">
      <w:pPr>
        <w:numPr>
          <w:ilvl w:val="0"/>
          <w:numId w:val="1"/>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t xml:space="preserve">Против </w:t>
      </w:r>
      <w:r w:rsidR="00D27CB0" w:rsidRPr="00D27CB0">
        <w:rPr>
          <w:rFonts w:eastAsia="Times New Roman" w:cs="Times New Roman"/>
          <w:lang w:val="mk-MK" w:eastAsia="mk-MK"/>
        </w:rPr>
        <w:t>Општина Карпош – од вкупно 12, 9 жалби се поднесени поради молчење,</w:t>
      </w:r>
    </w:p>
    <w:p w14:paraId="4D27E7F9" w14:textId="5EF17218" w:rsidR="00D27CB0" w:rsidRPr="00D27CB0" w:rsidRDefault="00A62700" w:rsidP="00D27CB0">
      <w:pPr>
        <w:numPr>
          <w:ilvl w:val="0"/>
          <w:numId w:val="1"/>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t xml:space="preserve">Против </w:t>
      </w:r>
      <w:r w:rsidR="00D27CB0" w:rsidRPr="00D27CB0">
        <w:rPr>
          <w:rFonts w:eastAsia="Times New Roman" w:cs="Times New Roman"/>
          <w:lang w:val="mk-MK" w:eastAsia="mk-MK"/>
        </w:rPr>
        <w:t>Министерство за здравство – од</w:t>
      </w:r>
      <w:r>
        <w:rPr>
          <w:rFonts w:eastAsia="Times New Roman" w:cs="Times New Roman"/>
          <w:lang w:val="mk-MK" w:eastAsia="mk-MK"/>
        </w:rPr>
        <w:t xml:space="preserve"> вкупно</w:t>
      </w:r>
      <w:r w:rsidR="00D27CB0" w:rsidRPr="00D27CB0">
        <w:rPr>
          <w:rFonts w:eastAsia="Times New Roman" w:cs="Times New Roman"/>
          <w:lang w:val="mk-MK" w:eastAsia="mk-MK"/>
        </w:rPr>
        <w:t xml:space="preserve"> 10 жалби, 9</w:t>
      </w:r>
      <w:r>
        <w:rPr>
          <w:rFonts w:eastAsia="Times New Roman" w:cs="Times New Roman"/>
          <w:lang w:val="mk-MK" w:eastAsia="mk-MK"/>
        </w:rPr>
        <w:t xml:space="preserve"> се</w:t>
      </w:r>
      <w:r w:rsidR="00D27CB0" w:rsidRPr="00D27CB0">
        <w:rPr>
          <w:rFonts w:eastAsia="Times New Roman" w:cs="Times New Roman"/>
          <w:lang w:val="mk-MK" w:eastAsia="mk-MK"/>
        </w:rPr>
        <w:t xml:space="preserve"> поради молчење</w:t>
      </w:r>
      <w:r>
        <w:rPr>
          <w:rFonts w:eastAsia="Times New Roman" w:cs="Times New Roman"/>
          <w:lang w:val="mk-MK" w:eastAsia="mk-MK"/>
        </w:rPr>
        <w:t>,</w:t>
      </w:r>
      <w:r w:rsidR="00D27CB0" w:rsidRPr="00D27CB0">
        <w:rPr>
          <w:rFonts w:eastAsia="Times New Roman" w:cs="Times New Roman"/>
          <w:lang w:val="mk-MK" w:eastAsia="mk-MK"/>
        </w:rPr>
        <w:t xml:space="preserve"> </w:t>
      </w:r>
    </w:p>
    <w:p w14:paraId="0EFB257C" w14:textId="6FB2EFF6" w:rsidR="00D27CB0" w:rsidRPr="00D27CB0" w:rsidRDefault="00A62700" w:rsidP="00D27CB0">
      <w:pPr>
        <w:numPr>
          <w:ilvl w:val="0"/>
          <w:numId w:val="1"/>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t xml:space="preserve">Против </w:t>
      </w:r>
      <w:r w:rsidR="00D27CB0" w:rsidRPr="00D27CB0">
        <w:rPr>
          <w:rFonts w:eastAsia="Times New Roman" w:cs="Times New Roman"/>
          <w:lang w:val="mk-MK" w:eastAsia="mk-MK"/>
        </w:rPr>
        <w:t>Општина Охрид –</w:t>
      </w:r>
      <w:r>
        <w:rPr>
          <w:rFonts w:eastAsia="Times New Roman" w:cs="Times New Roman"/>
          <w:lang w:val="mk-MK" w:eastAsia="mk-MK"/>
        </w:rPr>
        <w:t xml:space="preserve"> </w:t>
      </w:r>
      <w:r w:rsidR="00D27CB0" w:rsidRPr="00D27CB0">
        <w:rPr>
          <w:rFonts w:eastAsia="Times New Roman" w:cs="Times New Roman"/>
          <w:lang w:val="mk-MK" w:eastAsia="mk-MK"/>
        </w:rPr>
        <w:t>од вкупно 7, 6 жалби се поднесени поради молчење,</w:t>
      </w:r>
    </w:p>
    <w:p w14:paraId="0425EB2C" w14:textId="77777777" w:rsidR="00A62700" w:rsidRDefault="00A62700" w:rsidP="00A62700">
      <w:pPr>
        <w:numPr>
          <w:ilvl w:val="0"/>
          <w:numId w:val="1"/>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t>Против Општина Чаир –</w:t>
      </w:r>
      <w:r>
        <w:rPr>
          <w:rFonts w:eastAsia="Times New Roman" w:cs="Times New Roman"/>
          <w:lang w:val="mk-MK" w:eastAsia="mk-MK"/>
        </w:rPr>
        <w:t xml:space="preserve"> </w:t>
      </w:r>
      <w:r w:rsidRPr="00D27CB0">
        <w:rPr>
          <w:rFonts w:eastAsia="Times New Roman" w:cs="Times New Roman"/>
          <w:lang w:val="mk-MK" w:eastAsia="mk-MK"/>
        </w:rPr>
        <w:t>6 и сите поради молчење на управата</w:t>
      </w:r>
      <w:r>
        <w:rPr>
          <w:rFonts w:eastAsia="Times New Roman" w:cs="Times New Roman"/>
          <w:lang w:val="mk-MK" w:eastAsia="mk-MK"/>
        </w:rPr>
        <w:t>,</w:t>
      </w:r>
    </w:p>
    <w:p w14:paraId="427F974B" w14:textId="292F9A0B" w:rsidR="00A62700" w:rsidRPr="00D27CB0" w:rsidRDefault="00A62700" w:rsidP="00A62700">
      <w:pPr>
        <w:numPr>
          <w:ilvl w:val="0"/>
          <w:numId w:val="1"/>
        </w:numPr>
        <w:spacing w:before="100" w:beforeAutospacing="1" w:after="100" w:afterAutospacing="1" w:line="240" w:lineRule="auto"/>
        <w:jc w:val="both"/>
        <w:rPr>
          <w:rFonts w:eastAsia="Times New Roman" w:cs="Times New Roman"/>
          <w:lang w:val="mk-MK" w:eastAsia="mk-MK"/>
        </w:rPr>
      </w:pPr>
      <w:r>
        <w:rPr>
          <w:rFonts w:eastAsia="Times New Roman" w:cs="Times New Roman"/>
          <w:lang w:val="mk-MK" w:eastAsia="mk-MK"/>
        </w:rPr>
        <w:t xml:space="preserve">Против </w:t>
      </w:r>
      <w:r w:rsidRPr="00D27CB0">
        <w:rPr>
          <w:rFonts w:eastAsia="Times New Roman" w:cs="Times New Roman"/>
          <w:lang w:val="mk-MK" w:eastAsia="mk-MK"/>
        </w:rPr>
        <w:t>Министерство за спорт – од 6 поднесени жалби, 3 се поради молчење на управата</w:t>
      </w:r>
      <w:r>
        <w:rPr>
          <w:rFonts w:eastAsia="Times New Roman" w:cs="Times New Roman"/>
          <w:lang w:val="mk-MK" w:eastAsia="mk-MK"/>
        </w:rPr>
        <w:t>,</w:t>
      </w:r>
    </w:p>
    <w:p w14:paraId="62CEB9ED" w14:textId="515FD522" w:rsidR="00D27CB0" w:rsidRPr="00A62700" w:rsidRDefault="00A62700" w:rsidP="00A62700">
      <w:pPr>
        <w:numPr>
          <w:ilvl w:val="0"/>
          <w:numId w:val="1"/>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t xml:space="preserve">Против </w:t>
      </w:r>
      <w:r w:rsidR="00D27CB0" w:rsidRPr="00D27CB0">
        <w:rPr>
          <w:rFonts w:eastAsia="Times New Roman" w:cs="Times New Roman"/>
          <w:lang w:val="mk-MK" w:eastAsia="mk-MK"/>
        </w:rPr>
        <w:t>Министерство за транспорт – 5  жалби, сите поради молчење на управата</w:t>
      </w:r>
      <w:r>
        <w:rPr>
          <w:rFonts w:eastAsia="Times New Roman" w:cs="Times New Roman"/>
          <w:lang w:val="mk-MK" w:eastAsia="mk-MK"/>
        </w:rPr>
        <w:t xml:space="preserve"> и</w:t>
      </w:r>
    </w:p>
    <w:p w14:paraId="2FBFB1E2" w14:textId="2AB1BB4C" w:rsidR="00D27CB0" w:rsidRPr="00D27CB0" w:rsidRDefault="00A62700" w:rsidP="00D27CB0">
      <w:pPr>
        <w:numPr>
          <w:ilvl w:val="0"/>
          <w:numId w:val="1"/>
        </w:numPr>
        <w:spacing w:before="100" w:beforeAutospacing="1" w:after="100" w:afterAutospacing="1" w:line="240" w:lineRule="auto"/>
        <w:jc w:val="both"/>
        <w:rPr>
          <w:rFonts w:eastAsia="Times New Roman" w:cs="Times New Roman"/>
          <w:lang w:val="mk-MK" w:eastAsia="mk-MK"/>
        </w:rPr>
      </w:pPr>
      <w:r>
        <w:rPr>
          <w:rFonts w:eastAsia="Times New Roman" w:cs="Times New Roman"/>
          <w:lang w:val="mk-MK" w:eastAsia="mk-MK"/>
        </w:rPr>
        <w:t xml:space="preserve">Против </w:t>
      </w:r>
      <w:r w:rsidR="00D27CB0" w:rsidRPr="00D27CB0">
        <w:rPr>
          <w:rFonts w:eastAsia="Times New Roman" w:cs="Times New Roman"/>
          <w:lang w:val="mk-MK" w:eastAsia="mk-MK"/>
        </w:rPr>
        <w:t>Општина Липково – 5 и сите поради молчење на управата</w:t>
      </w:r>
      <w:r w:rsidR="00D27CB0">
        <w:rPr>
          <w:rFonts w:eastAsia="Times New Roman" w:cs="Times New Roman"/>
          <w:lang w:val="mk-MK" w:eastAsia="mk-MK"/>
        </w:rPr>
        <w:t xml:space="preserve"> и</w:t>
      </w:r>
    </w:p>
    <w:p w14:paraId="7991CDE5" w14:textId="23B7AC88" w:rsidR="00D27CB0" w:rsidRDefault="00D27CB0" w:rsidP="000A344F">
      <w:pPr>
        <w:spacing w:before="100" w:beforeAutospacing="1" w:after="100" w:afterAutospacing="1" w:line="240" w:lineRule="auto"/>
        <w:jc w:val="both"/>
        <w:outlineLvl w:val="3"/>
        <w:rPr>
          <w:rFonts w:eastAsia="Times New Roman" w:cs="Times New Roman"/>
          <w:lang w:val="mk-MK" w:eastAsia="mk-MK"/>
        </w:rPr>
      </w:pPr>
      <w:r w:rsidRPr="00D27CB0">
        <w:rPr>
          <w:rFonts w:eastAsia="Times New Roman" w:cs="Times New Roman"/>
          <w:lang w:val="mk-MK" w:eastAsia="mk-MK"/>
        </w:rPr>
        <w:t>Наведените податоци укажуваат на тоа дека</w:t>
      </w:r>
      <w:r>
        <w:rPr>
          <w:rFonts w:eastAsia="Times New Roman" w:cs="Times New Roman"/>
          <w:lang w:val="mk-MK" w:eastAsia="mk-MK"/>
        </w:rPr>
        <w:t xml:space="preserve"> </w:t>
      </w:r>
      <w:r w:rsidRPr="00D27CB0">
        <w:rPr>
          <w:rFonts w:eastAsia="Times New Roman" w:cs="Times New Roman"/>
          <w:lang w:val="mk-MK" w:eastAsia="mk-MK"/>
        </w:rPr>
        <w:t>молчењето на управата не е ограничен</w:t>
      </w:r>
      <w:r w:rsidR="00A62700">
        <w:rPr>
          <w:rFonts w:eastAsia="Times New Roman" w:cs="Times New Roman"/>
          <w:lang w:val="mk-MK" w:eastAsia="mk-MK"/>
        </w:rPr>
        <w:t>о</w:t>
      </w:r>
      <w:r w:rsidRPr="00D27CB0">
        <w:rPr>
          <w:rFonts w:eastAsia="Times New Roman" w:cs="Times New Roman"/>
          <w:lang w:val="mk-MK" w:eastAsia="mk-MK"/>
        </w:rPr>
        <w:t xml:space="preserve"> на поединечни институции, туку е распространет низ различни нивоа на власта и </w:t>
      </w:r>
      <w:r w:rsidR="00A62700">
        <w:rPr>
          <w:rFonts w:eastAsia="Times New Roman" w:cs="Times New Roman"/>
          <w:lang w:val="mk-MK" w:eastAsia="mk-MK"/>
        </w:rPr>
        <w:t xml:space="preserve">во различни </w:t>
      </w:r>
      <w:r w:rsidRPr="00D27CB0">
        <w:rPr>
          <w:rFonts w:eastAsia="Times New Roman" w:cs="Times New Roman"/>
          <w:lang w:val="mk-MK" w:eastAsia="mk-MK"/>
        </w:rPr>
        <w:t>сектори, особено меѓу органите на централната и локалната власт.</w:t>
      </w:r>
    </w:p>
    <w:p w14:paraId="0911C5DA" w14:textId="39367776" w:rsidR="000A344F" w:rsidRPr="000A344F" w:rsidRDefault="00B2524A" w:rsidP="000A344F">
      <w:pPr>
        <w:spacing w:before="100" w:beforeAutospacing="1" w:after="100" w:afterAutospacing="1" w:line="240" w:lineRule="auto"/>
        <w:jc w:val="both"/>
        <w:outlineLvl w:val="3"/>
        <w:rPr>
          <w:rFonts w:eastAsia="Times New Roman" w:cs="Times New Roman"/>
          <w:b/>
          <w:bCs/>
          <w:lang w:val="mk-MK" w:eastAsia="mk-MK"/>
        </w:rPr>
      </w:pPr>
      <w:r>
        <w:rPr>
          <w:rFonts w:eastAsia="Times New Roman" w:cs="Times New Roman"/>
          <w:b/>
          <w:bCs/>
          <w:lang w:val="mk-MK" w:eastAsia="mk-MK"/>
        </w:rPr>
        <w:t>Решени предмети и нивна структура</w:t>
      </w:r>
      <w:r w:rsidR="000A344F" w:rsidRPr="000A344F">
        <w:rPr>
          <w:rFonts w:eastAsia="Times New Roman" w:cs="Times New Roman"/>
          <w:b/>
          <w:bCs/>
          <w:lang w:val="mk-MK" w:eastAsia="mk-MK"/>
        </w:rPr>
        <w:t>:</w:t>
      </w:r>
    </w:p>
    <w:p w14:paraId="41C41307" w14:textId="6ECF56D3" w:rsidR="00D27CB0" w:rsidRDefault="00D27CB0" w:rsidP="00D27CB0">
      <w:pPr>
        <w:spacing w:before="100" w:beforeAutospacing="1" w:after="100" w:afterAutospacing="1" w:line="240" w:lineRule="auto"/>
        <w:jc w:val="both"/>
        <w:rPr>
          <w:rFonts w:eastAsia="Times New Roman" w:cs="Times New Roman"/>
          <w:lang w:val="mk-MK" w:eastAsia="mk-MK"/>
        </w:rPr>
      </w:pPr>
      <w:r>
        <w:rPr>
          <w:rFonts w:eastAsia="Times New Roman" w:cs="Times New Roman"/>
          <w:lang w:val="mk-MK" w:eastAsia="mk-MK"/>
        </w:rPr>
        <w:t>Агенцијата постапила по сите 333 предмети по</w:t>
      </w:r>
      <w:r w:rsidR="00A62700">
        <w:rPr>
          <w:rFonts w:eastAsia="Times New Roman" w:cs="Times New Roman"/>
          <w:lang w:val="mk-MK" w:eastAsia="mk-MK"/>
        </w:rPr>
        <w:t xml:space="preserve"> </w:t>
      </w:r>
      <w:r>
        <w:rPr>
          <w:rFonts w:eastAsia="Times New Roman" w:cs="Times New Roman"/>
          <w:lang w:val="mk-MK" w:eastAsia="mk-MK"/>
        </w:rPr>
        <w:t>жалби поднесени во извештајниот перио</w:t>
      </w:r>
      <w:r w:rsidR="00A62700">
        <w:rPr>
          <w:rFonts w:eastAsia="Times New Roman" w:cs="Times New Roman"/>
          <w:lang w:val="mk-MK" w:eastAsia="mk-MK"/>
        </w:rPr>
        <w:t>д</w:t>
      </w:r>
      <w:r>
        <w:rPr>
          <w:rFonts w:eastAsia="Times New Roman" w:cs="Times New Roman"/>
          <w:lang w:val="mk-MK" w:eastAsia="mk-MK"/>
        </w:rPr>
        <w:t xml:space="preserve"> и тоа на следниот начин:</w:t>
      </w:r>
    </w:p>
    <w:p w14:paraId="1A1AD10E" w14:textId="77777777" w:rsidR="00D27CB0" w:rsidRDefault="00D27CB0" w:rsidP="00D27CB0">
      <w:pPr>
        <w:pStyle w:val="ListParagraph"/>
        <w:numPr>
          <w:ilvl w:val="0"/>
          <w:numId w:val="8"/>
        </w:numPr>
        <w:spacing w:before="100" w:beforeAutospacing="1" w:after="100" w:afterAutospacing="1" w:line="240" w:lineRule="auto"/>
        <w:ind w:left="426"/>
        <w:jc w:val="both"/>
        <w:rPr>
          <w:rFonts w:eastAsia="Times New Roman" w:cs="Times New Roman"/>
          <w:lang w:val="mk-MK" w:eastAsia="mk-MK"/>
        </w:rPr>
      </w:pPr>
      <w:r>
        <w:rPr>
          <w:rFonts w:eastAsia="Times New Roman" w:cs="Times New Roman"/>
          <w:lang w:val="mk-MK" w:eastAsia="mk-MK"/>
        </w:rPr>
        <w:t>238 жалби се уважени, од кои 83 се вратени на повторно постапување, а по 155 им е наложено на имателите на информации да постапат по барањето за пристап до информации;</w:t>
      </w:r>
    </w:p>
    <w:p w14:paraId="11D2D3F1" w14:textId="24E83236" w:rsidR="00D27CB0" w:rsidRDefault="00D27CB0" w:rsidP="00D27CB0">
      <w:pPr>
        <w:pStyle w:val="ListParagraph"/>
        <w:numPr>
          <w:ilvl w:val="0"/>
          <w:numId w:val="8"/>
        </w:numPr>
        <w:spacing w:before="100" w:beforeAutospacing="1" w:after="100" w:afterAutospacing="1" w:line="240" w:lineRule="auto"/>
        <w:ind w:left="426"/>
        <w:jc w:val="both"/>
        <w:rPr>
          <w:rFonts w:eastAsia="Times New Roman" w:cs="Times New Roman"/>
          <w:lang w:val="mk-MK" w:eastAsia="mk-MK"/>
        </w:rPr>
      </w:pPr>
      <w:r>
        <w:rPr>
          <w:rFonts w:eastAsia="Times New Roman" w:cs="Times New Roman"/>
          <w:lang w:val="mk-MK" w:eastAsia="mk-MK"/>
        </w:rPr>
        <w:t xml:space="preserve">По 56 </w:t>
      </w:r>
      <w:r w:rsidR="00A62700">
        <w:rPr>
          <w:rFonts w:eastAsia="Times New Roman" w:cs="Times New Roman"/>
          <w:lang w:val="mk-MK" w:eastAsia="mk-MK"/>
        </w:rPr>
        <w:t xml:space="preserve">жалби </w:t>
      </w:r>
      <w:r>
        <w:rPr>
          <w:rFonts w:eastAsia="Times New Roman" w:cs="Times New Roman"/>
          <w:lang w:val="mk-MK" w:eastAsia="mk-MK"/>
        </w:rPr>
        <w:t>постапката е запрена по барање на жалителот;</w:t>
      </w:r>
    </w:p>
    <w:p w14:paraId="60196D76" w14:textId="77777777" w:rsidR="00D27CB0" w:rsidRDefault="00D27CB0" w:rsidP="00D27CB0">
      <w:pPr>
        <w:pStyle w:val="ListParagraph"/>
        <w:numPr>
          <w:ilvl w:val="0"/>
          <w:numId w:val="8"/>
        </w:numPr>
        <w:spacing w:before="100" w:beforeAutospacing="1" w:after="100" w:afterAutospacing="1" w:line="240" w:lineRule="auto"/>
        <w:ind w:left="426"/>
        <w:jc w:val="both"/>
        <w:rPr>
          <w:rFonts w:eastAsia="Times New Roman" w:cs="Times New Roman"/>
          <w:lang w:val="mk-MK" w:eastAsia="mk-MK"/>
        </w:rPr>
      </w:pPr>
      <w:r>
        <w:rPr>
          <w:rFonts w:eastAsia="Times New Roman" w:cs="Times New Roman"/>
          <w:lang w:val="mk-MK" w:eastAsia="mk-MK"/>
        </w:rPr>
        <w:t>23 жалби се одбиени како неосновани и</w:t>
      </w:r>
    </w:p>
    <w:p w14:paraId="4A892873" w14:textId="77777777" w:rsidR="00D27CB0" w:rsidRPr="00486A67" w:rsidRDefault="00D27CB0" w:rsidP="00D27CB0">
      <w:pPr>
        <w:pStyle w:val="ListParagraph"/>
        <w:numPr>
          <w:ilvl w:val="0"/>
          <w:numId w:val="8"/>
        </w:numPr>
        <w:spacing w:before="100" w:beforeAutospacing="1" w:after="100" w:afterAutospacing="1" w:line="240" w:lineRule="auto"/>
        <w:ind w:left="426"/>
        <w:jc w:val="both"/>
        <w:rPr>
          <w:rFonts w:eastAsia="Times New Roman" w:cs="Times New Roman"/>
          <w:lang w:val="mk-MK" w:eastAsia="mk-MK"/>
        </w:rPr>
      </w:pPr>
      <w:r>
        <w:rPr>
          <w:rFonts w:eastAsia="Times New Roman" w:cs="Times New Roman"/>
          <w:lang w:val="mk-MK" w:eastAsia="mk-MK"/>
        </w:rPr>
        <w:t>16 се отфрлени како недопуштени.</w:t>
      </w:r>
    </w:p>
    <w:p w14:paraId="0AE1A2CA" w14:textId="534383FB" w:rsidR="00D27CB0" w:rsidRPr="000A344F" w:rsidRDefault="00D27CB0" w:rsidP="00D27CB0">
      <w:pPr>
        <w:spacing w:before="100" w:beforeAutospacing="1" w:after="100" w:afterAutospacing="1" w:line="240" w:lineRule="auto"/>
        <w:jc w:val="both"/>
        <w:rPr>
          <w:rFonts w:eastAsia="Times New Roman" w:cs="Times New Roman"/>
          <w:lang w:val="mk-MK" w:eastAsia="mk-MK"/>
        </w:rPr>
      </w:pPr>
      <w:r w:rsidRPr="000A344F">
        <w:rPr>
          <w:rFonts w:eastAsia="Times New Roman" w:cs="Times New Roman"/>
          <w:lang w:val="mk-MK" w:eastAsia="mk-MK"/>
        </w:rPr>
        <w:t xml:space="preserve">Од вкупно </w:t>
      </w:r>
      <w:r w:rsidRPr="00BC286C">
        <w:rPr>
          <w:rFonts w:eastAsia="Times New Roman" w:cs="Times New Roman"/>
          <w:b/>
          <w:bCs/>
          <w:lang w:val="mk-MK" w:eastAsia="mk-MK"/>
        </w:rPr>
        <w:t>234</w:t>
      </w:r>
      <w:r>
        <w:rPr>
          <w:rFonts w:eastAsia="Times New Roman" w:cs="Times New Roman"/>
          <w:b/>
          <w:bCs/>
          <w:lang w:val="mk-MK" w:eastAsia="mk-MK"/>
        </w:rPr>
        <w:t xml:space="preserve"> </w:t>
      </w:r>
      <w:r w:rsidRPr="000A344F">
        <w:rPr>
          <w:rFonts w:eastAsia="Times New Roman" w:cs="Times New Roman"/>
          <w:lang w:val="mk-MK" w:eastAsia="mk-MK"/>
        </w:rPr>
        <w:t xml:space="preserve">жалби </w:t>
      </w:r>
      <w:r w:rsidR="009B0B61">
        <w:rPr>
          <w:rFonts w:eastAsia="Times New Roman" w:cs="Times New Roman"/>
          <w:lang w:val="mk-MK" w:eastAsia="mk-MK"/>
        </w:rPr>
        <w:t xml:space="preserve">поднесени </w:t>
      </w:r>
      <w:r w:rsidRPr="000A344F">
        <w:rPr>
          <w:rFonts w:eastAsia="Times New Roman" w:cs="Times New Roman"/>
          <w:lang w:val="mk-MK" w:eastAsia="mk-MK"/>
        </w:rPr>
        <w:t xml:space="preserve">поради </w:t>
      </w:r>
      <w:r>
        <w:rPr>
          <w:rFonts w:eastAsia="Times New Roman" w:cs="Times New Roman"/>
          <w:lang w:val="mk-MK" w:eastAsia="mk-MK"/>
        </w:rPr>
        <w:t>молчење</w:t>
      </w:r>
      <w:r w:rsidRPr="000A344F">
        <w:rPr>
          <w:rFonts w:eastAsia="Times New Roman" w:cs="Times New Roman"/>
          <w:lang w:val="mk-MK" w:eastAsia="mk-MK"/>
        </w:rPr>
        <w:t xml:space="preserve"> на управата, постапувањето на Агенцијата резултирало со следните исходи</w:t>
      </w:r>
      <w:r>
        <w:rPr>
          <w:rFonts w:eastAsia="Times New Roman" w:cs="Times New Roman"/>
          <w:lang w:val="mk-MK" w:eastAsia="mk-MK"/>
        </w:rPr>
        <w:t xml:space="preserve"> по поднесените жалби</w:t>
      </w:r>
      <w:r w:rsidRPr="000A344F">
        <w:rPr>
          <w:rFonts w:eastAsia="Times New Roman" w:cs="Times New Roman"/>
          <w:lang w:val="mk-MK" w:eastAsia="mk-MK"/>
        </w:rPr>
        <w:t>:</w:t>
      </w:r>
    </w:p>
    <w:p w14:paraId="0D2EDF26" w14:textId="602B0E52" w:rsidR="00D27CB0" w:rsidRPr="00D27CB0" w:rsidRDefault="00D27CB0" w:rsidP="00D27CB0">
      <w:pPr>
        <w:numPr>
          <w:ilvl w:val="0"/>
          <w:numId w:val="2"/>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b/>
          <w:bCs/>
          <w:lang w:val="mk-MK" w:eastAsia="mk-MK"/>
        </w:rPr>
        <w:t>149</w:t>
      </w:r>
      <w:r w:rsidRPr="00D27CB0">
        <w:rPr>
          <w:rFonts w:eastAsia="Times New Roman" w:cs="Times New Roman"/>
          <w:lang w:val="mk-MK" w:eastAsia="mk-MK"/>
        </w:rPr>
        <w:t xml:space="preserve"> Решенија со кои Жалбата се уважува и се наложува првостепениот орган да постапи по Барањето на барателот</w:t>
      </w:r>
      <w:r w:rsidR="009B0B61">
        <w:rPr>
          <w:rFonts w:eastAsia="Times New Roman" w:cs="Times New Roman"/>
          <w:lang w:val="mk-MK" w:eastAsia="mk-MK"/>
        </w:rPr>
        <w:t>,</w:t>
      </w:r>
    </w:p>
    <w:p w14:paraId="5A337E62" w14:textId="6ED14D55" w:rsidR="00D27CB0" w:rsidRPr="00D27CB0" w:rsidRDefault="00D27CB0" w:rsidP="00D27CB0">
      <w:pPr>
        <w:numPr>
          <w:ilvl w:val="0"/>
          <w:numId w:val="2"/>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b/>
          <w:bCs/>
          <w:lang w:val="mk-MK" w:eastAsia="mk-MK"/>
        </w:rPr>
        <w:t>5</w:t>
      </w:r>
      <w:r w:rsidRPr="00D27CB0">
        <w:rPr>
          <w:rFonts w:eastAsia="Times New Roman" w:cs="Times New Roman"/>
          <w:lang w:val="mk-MK" w:eastAsia="mk-MK"/>
        </w:rPr>
        <w:t xml:space="preserve"> Решенија со кои Жалбата се одбива како неоснована</w:t>
      </w:r>
      <w:r w:rsidR="009B0B61">
        <w:rPr>
          <w:rFonts w:eastAsia="Times New Roman" w:cs="Times New Roman"/>
          <w:lang w:val="mk-MK" w:eastAsia="mk-MK"/>
        </w:rPr>
        <w:t>,</w:t>
      </w:r>
    </w:p>
    <w:p w14:paraId="04845DAE" w14:textId="6E90A525" w:rsidR="00D27CB0" w:rsidRPr="00D27CB0" w:rsidRDefault="00D27CB0" w:rsidP="00D27CB0">
      <w:pPr>
        <w:numPr>
          <w:ilvl w:val="0"/>
          <w:numId w:val="2"/>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b/>
          <w:bCs/>
          <w:lang w:val="mk-MK" w:eastAsia="mk-MK"/>
        </w:rPr>
        <w:t>12</w:t>
      </w:r>
      <w:r w:rsidRPr="00D27CB0">
        <w:rPr>
          <w:rFonts w:eastAsia="Times New Roman" w:cs="Times New Roman"/>
          <w:lang w:val="mk-MK" w:eastAsia="mk-MK"/>
        </w:rPr>
        <w:t xml:space="preserve"> Решенија со кои Жалбата се отфрла како недопуштена</w:t>
      </w:r>
      <w:r w:rsidR="009B0B61">
        <w:rPr>
          <w:rFonts w:eastAsia="Times New Roman" w:cs="Times New Roman"/>
          <w:lang w:val="mk-MK" w:eastAsia="mk-MK"/>
        </w:rPr>
        <w:t>,</w:t>
      </w:r>
    </w:p>
    <w:p w14:paraId="2E321A97" w14:textId="77777777" w:rsidR="00D27CB0" w:rsidRDefault="00D27CB0" w:rsidP="00D27CB0">
      <w:pPr>
        <w:numPr>
          <w:ilvl w:val="0"/>
          <w:numId w:val="2"/>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b/>
          <w:bCs/>
          <w:lang w:val="mk-MK" w:eastAsia="mk-MK"/>
        </w:rPr>
        <w:lastRenderedPageBreak/>
        <w:t xml:space="preserve">49 </w:t>
      </w:r>
      <w:r w:rsidRPr="00D27CB0">
        <w:rPr>
          <w:rFonts w:eastAsia="Times New Roman" w:cs="Times New Roman"/>
          <w:lang w:val="mk-MK" w:eastAsia="mk-MK"/>
        </w:rPr>
        <w:t xml:space="preserve">Решенија со кои се запира постапката по Жалба поради повлекување на истата од страна на барателот, поради добиен одговор од имателите во текот на второстепената постапка и </w:t>
      </w:r>
    </w:p>
    <w:p w14:paraId="650A9B26" w14:textId="5332EB0C" w:rsidR="00D27CB0" w:rsidRDefault="00D27CB0" w:rsidP="00D27CB0">
      <w:pPr>
        <w:numPr>
          <w:ilvl w:val="0"/>
          <w:numId w:val="2"/>
        </w:num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t>19 се вратени на повторно постапување кај имателот на информации.</w:t>
      </w:r>
    </w:p>
    <w:p w14:paraId="636FFD2E" w14:textId="7CE4B539" w:rsidR="00D27CB0" w:rsidRPr="00D27CB0" w:rsidRDefault="005926C1" w:rsidP="00D27CB0">
      <w:pPr>
        <w:spacing w:before="100" w:beforeAutospacing="1" w:after="100" w:afterAutospacing="1" w:line="240" w:lineRule="auto"/>
        <w:ind w:left="720"/>
        <w:jc w:val="both"/>
        <w:rPr>
          <w:rFonts w:eastAsia="Times New Roman" w:cs="Times New Roman"/>
          <w:lang w:val="mk-MK" w:eastAsia="mk-MK"/>
        </w:rPr>
      </w:pPr>
      <w:r>
        <w:rPr>
          <w:noProof/>
        </w:rPr>
        <w:drawing>
          <wp:inline distT="0" distB="0" distL="0" distR="0" wp14:anchorId="6D094038" wp14:editId="0AE2BBF3">
            <wp:extent cx="5200650" cy="3667125"/>
            <wp:effectExtent l="0" t="0" r="0" b="9525"/>
            <wp:docPr id="1865341811" name="Chart 1">
              <a:extLst xmlns:a="http://schemas.openxmlformats.org/drawingml/2006/main">
                <a:ext uri="{FF2B5EF4-FFF2-40B4-BE49-F238E27FC236}">
                  <a16:creationId xmlns:a16="http://schemas.microsoft.com/office/drawing/2014/main" id="{BA9F854F-F346-B7E1-F0AD-D2378114E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127A87" w14:textId="660717F7" w:rsidR="00D27CB0" w:rsidRDefault="00D27CB0" w:rsidP="000A344F">
      <w:pPr>
        <w:spacing w:before="100" w:beforeAutospacing="1" w:after="100" w:afterAutospacing="1" w:line="240" w:lineRule="auto"/>
        <w:jc w:val="both"/>
        <w:rPr>
          <w:rFonts w:eastAsia="Times New Roman" w:cs="Times New Roman"/>
          <w:lang w:val="mk-MK" w:eastAsia="mk-MK"/>
        </w:rPr>
      </w:pPr>
      <w:r w:rsidRPr="00D27CB0">
        <w:rPr>
          <w:rFonts w:eastAsia="Times New Roman" w:cs="Times New Roman"/>
          <w:lang w:val="mk-MK" w:eastAsia="mk-MK"/>
        </w:rPr>
        <w:t>Постапувајќи по поднесени повторни жалби од страна на барателите на информации кои не постапиле по решението на Агенцијата, донесени се уште</w:t>
      </w:r>
      <w:r w:rsidR="005926C1">
        <w:rPr>
          <w:rFonts w:eastAsia="Times New Roman" w:cs="Times New Roman"/>
          <w:lang w:val="mk-MK" w:eastAsia="mk-MK"/>
        </w:rPr>
        <w:t xml:space="preserve"> </w:t>
      </w:r>
      <w:r w:rsidRPr="00D27CB0">
        <w:rPr>
          <w:rFonts w:eastAsia="Times New Roman" w:cs="Times New Roman"/>
          <w:b/>
          <w:bCs/>
          <w:lang w:val="mk-MK" w:eastAsia="mk-MK"/>
        </w:rPr>
        <w:t>77</w:t>
      </w:r>
      <w:r w:rsidRPr="00D27CB0">
        <w:rPr>
          <w:rFonts w:eastAsia="Times New Roman" w:cs="Times New Roman"/>
          <w:lang w:val="mk-MK" w:eastAsia="mk-MK"/>
        </w:rPr>
        <w:t xml:space="preserve"> мериторни решенија,</w:t>
      </w:r>
      <w:r w:rsidR="005926C1">
        <w:rPr>
          <w:rFonts w:eastAsia="Times New Roman" w:cs="Times New Roman"/>
          <w:lang w:val="mk-MK" w:eastAsia="mk-MK"/>
        </w:rPr>
        <w:t xml:space="preserve"> </w:t>
      </w:r>
      <w:r w:rsidRPr="00D27CB0">
        <w:rPr>
          <w:rFonts w:eastAsia="Times New Roman" w:cs="Times New Roman"/>
          <w:lang w:val="mk-MK" w:eastAsia="mk-MK"/>
        </w:rPr>
        <w:t>од кои 64 за задолжување на имателот на информации да ја достави на барателот бараната информација на начин и во форма како што е тоа побарано, 12 решенија за одбивање на жалбата и 1 за запирање на постапката.</w:t>
      </w:r>
    </w:p>
    <w:p w14:paraId="1060D1AB" w14:textId="2365A033" w:rsidR="000F3DC7" w:rsidRDefault="006A6EED" w:rsidP="000A344F">
      <w:pPr>
        <w:spacing w:before="100" w:beforeAutospacing="1" w:after="100" w:afterAutospacing="1" w:line="240" w:lineRule="auto"/>
        <w:jc w:val="both"/>
        <w:outlineLvl w:val="2"/>
      </w:pPr>
      <w:proofErr w:type="spellStart"/>
      <w:r>
        <w:t>Големиот</w:t>
      </w:r>
      <w:proofErr w:type="spellEnd"/>
      <w:r>
        <w:t xml:space="preserve"> </w:t>
      </w:r>
      <w:proofErr w:type="spellStart"/>
      <w:r>
        <w:t>број</w:t>
      </w:r>
      <w:proofErr w:type="spellEnd"/>
      <w:r>
        <w:t xml:space="preserve"> </w:t>
      </w:r>
      <w:proofErr w:type="spellStart"/>
      <w:r>
        <w:t>на</w:t>
      </w:r>
      <w:proofErr w:type="spellEnd"/>
      <w:r>
        <w:t xml:space="preserve"> </w:t>
      </w:r>
      <w:proofErr w:type="spellStart"/>
      <w:r>
        <w:t>решенија</w:t>
      </w:r>
      <w:proofErr w:type="spellEnd"/>
      <w:r>
        <w:t xml:space="preserve"> </w:t>
      </w:r>
      <w:proofErr w:type="spellStart"/>
      <w:r>
        <w:t>со</w:t>
      </w:r>
      <w:proofErr w:type="spellEnd"/>
      <w:r>
        <w:t xml:space="preserve"> </w:t>
      </w:r>
      <w:proofErr w:type="spellStart"/>
      <w:r>
        <w:t>задолжување</w:t>
      </w:r>
      <w:proofErr w:type="spellEnd"/>
      <w:r w:rsidR="009B5456">
        <w:rPr>
          <w:lang w:val="mk-MK"/>
        </w:rPr>
        <w:t>,</w:t>
      </w:r>
      <w:r>
        <w:t xml:space="preserve"> </w:t>
      </w:r>
      <w:proofErr w:type="spellStart"/>
      <w:r>
        <w:t>упатува</w:t>
      </w:r>
      <w:proofErr w:type="spellEnd"/>
      <w:r>
        <w:t xml:space="preserve"> </w:t>
      </w:r>
      <w:proofErr w:type="spellStart"/>
      <w:r>
        <w:t>на</w:t>
      </w:r>
      <w:proofErr w:type="spellEnd"/>
      <w:r>
        <w:t xml:space="preserve"> </w:t>
      </w:r>
      <w:proofErr w:type="spellStart"/>
      <w:r>
        <w:t>системска</w:t>
      </w:r>
      <w:proofErr w:type="spellEnd"/>
      <w:r>
        <w:t xml:space="preserve"> </w:t>
      </w:r>
      <w:proofErr w:type="spellStart"/>
      <w:r>
        <w:t>неподготвеност</w:t>
      </w:r>
      <w:proofErr w:type="spellEnd"/>
      <w:r>
        <w:t xml:space="preserve"> </w:t>
      </w:r>
      <w:proofErr w:type="spellStart"/>
      <w:r>
        <w:t>или</w:t>
      </w:r>
      <w:proofErr w:type="spellEnd"/>
      <w:r>
        <w:t xml:space="preserve"> </w:t>
      </w:r>
      <w:proofErr w:type="spellStart"/>
      <w:r>
        <w:t>отпор</w:t>
      </w:r>
      <w:proofErr w:type="spellEnd"/>
      <w:r>
        <w:t xml:space="preserve"> </w:t>
      </w:r>
      <w:proofErr w:type="spellStart"/>
      <w:r>
        <w:t>на</w:t>
      </w:r>
      <w:proofErr w:type="spellEnd"/>
      <w:r>
        <w:t xml:space="preserve"> </w:t>
      </w:r>
      <w:proofErr w:type="spellStart"/>
      <w:r>
        <w:t>институциите</w:t>
      </w:r>
      <w:proofErr w:type="spellEnd"/>
      <w:r>
        <w:t xml:space="preserve"> </w:t>
      </w:r>
      <w:proofErr w:type="spellStart"/>
      <w:r>
        <w:t>да</w:t>
      </w:r>
      <w:proofErr w:type="spellEnd"/>
      <w:r>
        <w:t xml:space="preserve"> </w:t>
      </w:r>
      <w:proofErr w:type="spellStart"/>
      <w:r>
        <w:t>постапуваат</w:t>
      </w:r>
      <w:proofErr w:type="spellEnd"/>
      <w:r>
        <w:t xml:space="preserve"> </w:t>
      </w:r>
      <w:proofErr w:type="spellStart"/>
      <w:r>
        <w:t>по</w:t>
      </w:r>
      <w:proofErr w:type="spellEnd"/>
      <w:r>
        <w:t xml:space="preserve"> </w:t>
      </w:r>
      <w:proofErr w:type="spellStart"/>
      <w:r>
        <w:t>барањата</w:t>
      </w:r>
      <w:proofErr w:type="spellEnd"/>
      <w:r>
        <w:t xml:space="preserve"> </w:t>
      </w:r>
      <w:proofErr w:type="spellStart"/>
      <w:r>
        <w:t>за</w:t>
      </w:r>
      <w:proofErr w:type="spellEnd"/>
      <w:r>
        <w:t xml:space="preserve"> </w:t>
      </w:r>
      <w:proofErr w:type="spellStart"/>
      <w:r>
        <w:t>пристап</w:t>
      </w:r>
      <w:proofErr w:type="spellEnd"/>
      <w:r>
        <w:t xml:space="preserve"> </w:t>
      </w:r>
      <w:proofErr w:type="spellStart"/>
      <w:r>
        <w:t>до</w:t>
      </w:r>
      <w:proofErr w:type="spellEnd"/>
      <w:r>
        <w:t xml:space="preserve"> </w:t>
      </w:r>
      <w:proofErr w:type="spellStart"/>
      <w:r>
        <w:t>информации</w:t>
      </w:r>
      <w:proofErr w:type="spellEnd"/>
      <w:r>
        <w:t xml:space="preserve"> </w:t>
      </w:r>
      <w:proofErr w:type="spellStart"/>
      <w:r>
        <w:t>сè</w:t>
      </w:r>
      <w:proofErr w:type="spellEnd"/>
      <w:r>
        <w:t xml:space="preserve"> </w:t>
      </w:r>
      <w:proofErr w:type="spellStart"/>
      <w:r>
        <w:t>додека</w:t>
      </w:r>
      <w:proofErr w:type="spellEnd"/>
      <w:r>
        <w:t xml:space="preserve"> </w:t>
      </w:r>
      <w:proofErr w:type="spellStart"/>
      <w:r>
        <w:t>не</w:t>
      </w:r>
      <w:proofErr w:type="spellEnd"/>
      <w:r>
        <w:t xml:space="preserve"> </w:t>
      </w:r>
      <w:proofErr w:type="spellStart"/>
      <w:r>
        <w:t>бидат</w:t>
      </w:r>
      <w:proofErr w:type="spellEnd"/>
      <w:r>
        <w:t xml:space="preserve"> </w:t>
      </w:r>
      <w:proofErr w:type="spellStart"/>
      <w:r>
        <w:t>формално</w:t>
      </w:r>
      <w:proofErr w:type="spellEnd"/>
      <w:r>
        <w:t xml:space="preserve"> </w:t>
      </w:r>
      <w:proofErr w:type="spellStart"/>
      <w:r>
        <w:t>принудени</w:t>
      </w:r>
      <w:proofErr w:type="spellEnd"/>
      <w:r>
        <w:t xml:space="preserve"> </w:t>
      </w:r>
      <w:proofErr w:type="spellStart"/>
      <w:r>
        <w:t>преку</w:t>
      </w:r>
      <w:proofErr w:type="spellEnd"/>
      <w:r>
        <w:t xml:space="preserve"> </w:t>
      </w:r>
      <w:proofErr w:type="spellStart"/>
      <w:r>
        <w:t>постапка</w:t>
      </w:r>
      <w:proofErr w:type="spellEnd"/>
      <w:r>
        <w:t xml:space="preserve"> </w:t>
      </w:r>
      <w:r w:rsidR="009B0B61">
        <w:rPr>
          <w:lang w:val="mk-MK"/>
        </w:rPr>
        <w:t xml:space="preserve">по жалба </w:t>
      </w:r>
      <w:proofErr w:type="spellStart"/>
      <w:r>
        <w:t>пред</w:t>
      </w:r>
      <w:proofErr w:type="spellEnd"/>
      <w:r>
        <w:t xml:space="preserve"> </w:t>
      </w:r>
      <w:proofErr w:type="spellStart"/>
      <w:r>
        <w:t>Агенцијата</w:t>
      </w:r>
      <w:proofErr w:type="spellEnd"/>
      <w:r>
        <w:t xml:space="preserve">. </w:t>
      </w:r>
      <w:proofErr w:type="spellStart"/>
      <w:r>
        <w:t>Ова</w:t>
      </w:r>
      <w:proofErr w:type="spellEnd"/>
      <w:r>
        <w:t xml:space="preserve"> </w:t>
      </w:r>
      <w:proofErr w:type="spellStart"/>
      <w:r>
        <w:t>не</w:t>
      </w:r>
      <w:proofErr w:type="spellEnd"/>
      <w:r>
        <w:t xml:space="preserve"> </w:t>
      </w:r>
      <w:proofErr w:type="spellStart"/>
      <w:r>
        <w:t>само</w:t>
      </w:r>
      <w:proofErr w:type="spellEnd"/>
      <w:r>
        <w:t xml:space="preserve"> </w:t>
      </w:r>
      <w:proofErr w:type="spellStart"/>
      <w:r>
        <w:t>што</w:t>
      </w:r>
      <w:proofErr w:type="spellEnd"/>
      <w:r>
        <w:t xml:space="preserve"> </w:t>
      </w:r>
      <w:proofErr w:type="spellStart"/>
      <w:r>
        <w:t>укажува</w:t>
      </w:r>
      <w:proofErr w:type="spellEnd"/>
      <w:r>
        <w:t xml:space="preserve"> </w:t>
      </w:r>
      <w:proofErr w:type="spellStart"/>
      <w:r>
        <w:t>на</w:t>
      </w:r>
      <w:proofErr w:type="spellEnd"/>
      <w:r>
        <w:t xml:space="preserve"> </w:t>
      </w:r>
      <w:proofErr w:type="spellStart"/>
      <w:r>
        <w:t>ниско</w:t>
      </w:r>
      <w:proofErr w:type="spellEnd"/>
      <w:r>
        <w:t xml:space="preserve"> </w:t>
      </w:r>
      <w:proofErr w:type="spellStart"/>
      <w:r>
        <w:t>ниво</w:t>
      </w:r>
      <w:proofErr w:type="spellEnd"/>
      <w:r>
        <w:t xml:space="preserve"> </w:t>
      </w:r>
      <w:proofErr w:type="spellStart"/>
      <w:r>
        <w:t>на</w:t>
      </w:r>
      <w:proofErr w:type="spellEnd"/>
      <w:r>
        <w:t xml:space="preserve"> </w:t>
      </w:r>
      <w:proofErr w:type="spellStart"/>
      <w:r>
        <w:t>институционална</w:t>
      </w:r>
      <w:proofErr w:type="spellEnd"/>
      <w:r>
        <w:t xml:space="preserve"> </w:t>
      </w:r>
      <w:proofErr w:type="spellStart"/>
      <w:r>
        <w:t>култура</w:t>
      </w:r>
      <w:proofErr w:type="spellEnd"/>
      <w:r>
        <w:t xml:space="preserve"> </w:t>
      </w:r>
      <w:proofErr w:type="spellStart"/>
      <w:r>
        <w:t>на</w:t>
      </w:r>
      <w:proofErr w:type="spellEnd"/>
      <w:r>
        <w:t xml:space="preserve"> </w:t>
      </w:r>
      <w:proofErr w:type="spellStart"/>
      <w:r>
        <w:t>отчетност</w:t>
      </w:r>
      <w:proofErr w:type="spellEnd"/>
      <w:r>
        <w:t xml:space="preserve"> и </w:t>
      </w:r>
      <w:proofErr w:type="spellStart"/>
      <w:r>
        <w:t>проактивна</w:t>
      </w:r>
      <w:proofErr w:type="spellEnd"/>
      <w:r>
        <w:t xml:space="preserve"> </w:t>
      </w:r>
      <w:proofErr w:type="spellStart"/>
      <w:r>
        <w:t>транспарентност</w:t>
      </w:r>
      <w:proofErr w:type="spellEnd"/>
      <w:r>
        <w:t xml:space="preserve">, </w:t>
      </w:r>
      <w:proofErr w:type="spellStart"/>
      <w:r>
        <w:t>туку</w:t>
      </w:r>
      <w:proofErr w:type="spellEnd"/>
      <w:r>
        <w:t xml:space="preserve"> и </w:t>
      </w:r>
      <w:proofErr w:type="spellStart"/>
      <w:r>
        <w:t>резултира</w:t>
      </w:r>
      <w:proofErr w:type="spellEnd"/>
      <w:r>
        <w:t xml:space="preserve"> </w:t>
      </w:r>
      <w:proofErr w:type="spellStart"/>
      <w:r>
        <w:t>со</w:t>
      </w:r>
      <w:proofErr w:type="spellEnd"/>
      <w:r>
        <w:t xml:space="preserve"> </w:t>
      </w:r>
      <w:proofErr w:type="spellStart"/>
      <w:r>
        <w:t>непотребно</w:t>
      </w:r>
      <w:proofErr w:type="spellEnd"/>
      <w:r>
        <w:t xml:space="preserve"> </w:t>
      </w:r>
      <w:proofErr w:type="spellStart"/>
      <w:r>
        <w:t>зголемување</w:t>
      </w:r>
      <w:proofErr w:type="spellEnd"/>
      <w:r>
        <w:t xml:space="preserve"> </w:t>
      </w:r>
      <w:proofErr w:type="spellStart"/>
      <w:r>
        <w:t>на</w:t>
      </w:r>
      <w:proofErr w:type="spellEnd"/>
      <w:r>
        <w:t xml:space="preserve"> </w:t>
      </w:r>
      <w:proofErr w:type="spellStart"/>
      <w:r>
        <w:t>административниот</w:t>
      </w:r>
      <w:proofErr w:type="spellEnd"/>
      <w:r>
        <w:t xml:space="preserve"> </w:t>
      </w:r>
      <w:proofErr w:type="spellStart"/>
      <w:r>
        <w:t>товар</w:t>
      </w:r>
      <w:proofErr w:type="spellEnd"/>
      <w:r>
        <w:t xml:space="preserve"> </w:t>
      </w:r>
      <w:proofErr w:type="spellStart"/>
      <w:r>
        <w:t>врз</w:t>
      </w:r>
      <w:proofErr w:type="spellEnd"/>
      <w:r>
        <w:t xml:space="preserve"> </w:t>
      </w:r>
      <w:proofErr w:type="spellStart"/>
      <w:r>
        <w:t>Агенцијата</w:t>
      </w:r>
      <w:proofErr w:type="spellEnd"/>
      <w:r>
        <w:t xml:space="preserve">, </w:t>
      </w:r>
      <w:proofErr w:type="spellStart"/>
      <w:r>
        <w:t>која</w:t>
      </w:r>
      <w:proofErr w:type="spellEnd"/>
      <w:r>
        <w:t xml:space="preserve"> </w:t>
      </w:r>
      <w:proofErr w:type="spellStart"/>
      <w:r>
        <w:t>сè</w:t>
      </w:r>
      <w:proofErr w:type="spellEnd"/>
      <w:r>
        <w:t xml:space="preserve"> </w:t>
      </w:r>
      <w:proofErr w:type="spellStart"/>
      <w:r>
        <w:t>почесто</w:t>
      </w:r>
      <w:proofErr w:type="spellEnd"/>
      <w:r>
        <w:t xml:space="preserve"> </w:t>
      </w:r>
      <w:proofErr w:type="spellStart"/>
      <w:r>
        <w:t>се</w:t>
      </w:r>
      <w:proofErr w:type="spellEnd"/>
      <w:r>
        <w:t xml:space="preserve"> </w:t>
      </w:r>
      <w:proofErr w:type="spellStart"/>
      <w:r>
        <w:t>користи</w:t>
      </w:r>
      <w:proofErr w:type="spellEnd"/>
      <w:r>
        <w:t xml:space="preserve"> </w:t>
      </w:r>
      <w:proofErr w:type="spellStart"/>
      <w:r>
        <w:t>како</w:t>
      </w:r>
      <w:proofErr w:type="spellEnd"/>
      <w:r>
        <w:t xml:space="preserve"> </w:t>
      </w:r>
      <w:proofErr w:type="spellStart"/>
      <w:r>
        <w:t>корективен</w:t>
      </w:r>
      <w:proofErr w:type="spellEnd"/>
      <w:r>
        <w:t xml:space="preserve"> </w:t>
      </w:r>
      <w:proofErr w:type="spellStart"/>
      <w:r>
        <w:t>механизам</w:t>
      </w:r>
      <w:proofErr w:type="spellEnd"/>
      <w:r>
        <w:t xml:space="preserve"> </w:t>
      </w:r>
      <w:proofErr w:type="spellStart"/>
      <w:r>
        <w:t>наместо</w:t>
      </w:r>
      <w:proofErr w:type="spellEnd"/>
      <w:r>
        <w:t xml:space="preserve"> </w:t>
      </w:r>
      <w:proofErr w:type="spellStart"/>
      <w:r>
        <w:t>како</w:t>
      </w:r>
      <w:proofErr w:type="spellEnd"/>
      <w:r>
        <w:t xml:space="preserve"> </w:t>
      </w:r>
      <w:proofErr w:type="spellStart"/>
      <w:r>
        <w:t>последна</w:t>
      </w:r>
      <w:proofErr w:type="spellEnd"/>
      <w:r>
        <w:t xml:space="preserve"> </w:t>
      </w:r>
      <w:proofErr w:type="spellStart"/>
      <w:r>
        <w:t>инстанца</w:t>
      </w:r>
      <w:proofErr w:type="spellEnd"/>
      <w:r w:rsidR="00742942">
        <w:rPr>
          <w:lang w:val="mk-MK"/>
        </w:rPr>
        <w:t xml:space="preserve"> во постапката</w:t>
      </w:r>
      <w:r>
        <w:t xml:space="preserve">. </w:t>
      </w:r>
      <w:proofErr w:type="spellStart"/>
      <w:r>
        <w:t>Истовремено</w:t>
      </w:r>
      <w:proofErr w:type="spellEnd"/>
      <w:r>
        <w:t xml:space="preserve">, </w:t>
      </w:r>
      <w:proofErr w:type="spellStart"/>
      <w:r>
        <w:t>ваквата</w:t>
      </w:r>
      <w:proofErr w:type="spellEnd"/>
      <w:r>
        <w:t xml:space="preserve"> </w:t>
      </w:r>
      <w:proofErr w:type="spellStart"/>
      <w:r>
        <w:t>пракса</w:t>
      </w:r>
      <w:proofErr w:type="spellEnd"/>
      <w:r>
        <w:t xml:space="preserve"> </w:t>
      </w:r>
      <w:proofErr w:type="spellStart"/>
      <w:r>
        <w:t>создава</w:t>
      </w:r>
      <w:proofErr w:type="spellEnd"/>
      <w:r>
        <w:t xml:space="preserve"> </w:t>
      </w:r>
      <w:proofErr w:type="spellStart"/>
      <w:r>
        <w:t>дополнителни</w:t>
      </w:r>
      <w:proofErr w:type="spellEnd"/>
      <w:r>
        <w:t xml:space="preserve"> </w:t>
      </w:r>
      <w:proofErr w:type="spellStart"/>
      <w:r>
        <w:t>пречки</w:t>
      </w:r>
      <w:proofErr w:type="spellEnd"/>
      <w:r>
        <w:t xml:space="preserve"> </w:t>
      </w:r>
      <w:proofErr w:type="spellStart"/>
      <w:r>
        <w:t>за</w:t>
      </w:r>
      <w:proofErr w:type="spellEnd"/>
      <w:r>
        <w:t xml:space="preserve"> </w:t>
      </w:r>
      <w:proofErr w:type="spellStart"/>
      <w:r>
        <w:t>барателите</w:t>
      </w:r>
      <w:proofErr w:type="spellEnd"/>
      <w:r>
        <w:t xml:space="preserve">, </w:t>
      </w:r>
      <w:proofErr w:type="spellStart"/>
      <w:r>
        <w:t>кои</w:t>
      </w:r>
      <w:proofErr w:type="spellEnd"/>
      <w:r>
        <w:t xml:space="preserve"> </w:t>
      </w:r>
      <w:proofErr w:type="spellStart"/>
      <w:r>
        <w:t>наместо</w:t>
      </w:r>
      <w:proofErr w:type="spellEnd"/>
      <w:r>
        <w:t xml:space="preserve"> </w:t>
      </w:r>
      <w:proofErr w:type="spellStart"/>
      <w:r>
        <w:t>брз</w:t>
      </w:r>
      <w:proofErr w:type="spellEnd"/>
      <w:r>
        <w:t xml:space="preserve"> и </w:t>
      </w:r>
      <w:proofErr w:type="spellStart"/>
      <w:r>
        <w:t>ефикасен</w:t>
      </w:r>
      <w:proofErr w:type="spellEnd"/>
      <w:r>
        <w:t xml:space="preserve"> </w:t>
      </w:r>
      <w:proofErr w:type="spellStart"/>
      <w:r>
        <w:t>пристап</w:t>
      </w:r>
      <w:proofErr w:type="spellEnd"/>
      <w:r>
        <w:t xml:space="preserve">, </w:t>
      </w:r>
      <w:proofErr w:type="spellStart"/>
      <w:r>
        <w:t>се</w:t>
      </w:r>
      <w:proofErr w:type="spellEnd"/>
      <w:r>
        <w:t xml:space="preserve"> </w:t>
      </w:r>
      <w:proofErr w:type="spellStart"/>
      <w:r>
        <w:t>соочуваат</w:t>
      </w:r>
      <w:proofErr w:type="spellEnd"/>
      <w:r>
        <w:t xml:space="preserve"> </w:t>
      </w:r>
      <w:proofErr w:type="spellStart"/>
      <w:r>
        <w:t>со</w:t>
      </w:r>
      <w:proofErr w:type="spellEnd"/>
      <w:r>
        <w:t xml:space="preserve"> </w:t>
      </w:r>
      <w:r w:rsidR="005926C1">
        <w:rPr>
          <w:lang w:val="mk-MK"/>
        </w:rPr>
        <w:t xml:space="preserve">административни пречки, </w:t>
      </w:r>
      <w:proofErr w:type="spellStart"/>
      <w:r>
        <w:t>правно</w:t>
      </w:r>
      <w:proofErr w:type="spellEnd"/>
      <w:r>
        <w:t xml:space="preserve"> </w:t>
      </w:r>
      <w:proofErr w:type="spellStart"/>
      <w:r>
        <w:lastRenderedPageBreak/>
        <w:t>оптоварување</w:t>
      </w:r>
      <w:proofErr w:type="spellEnd"/>
      <w:r>
        <w:t xml:space="preserve">, </w:t>
      </w:r>
      <w:proofErr w:type="spellStart"/>
      <w:r>
        <w:t>пролонгирани</w:t>
      </w:r>
      <w:proofErr w:type="spellEnd"/>
      <w:r>
        <w:t xml:space="preserve"> </w:t>
      </w:r>
      <w:proofErr w:type="spellStart"/>
      <w:r>
        <w:t>рокови</w:t>
      </w:r>
      <w:proofErr w:type="spellEnd"/>
      <w:r>
        <w:t xml:space="preserve"> и </w:t>
      </w:r>
      <w:proofErr w:type="spellStart"/>
      <w:r>
        <w:t>демотивирачки</w:t>
      </w:r>
      <w:proofErr w:type="spellEnd"/>
      <w:r>
        <w:t xml:space="preserve"> </w:t>
      </w:r>
      <w:proofErr w:type="spellStart"/>
      <w:r>
        <w:t>институционален</w:t>
      </w:r>
      <w:proofErr w:type="spellEnd"/>
      <w:r>
        <w:t xml:space="preserve"> </w:t>
      </w:r>
      <w:proofErr w:type="spellStart"/>
      <w:r>
        <w:t>однос</w:t>
      </w:r>
      <w:proofErr w:type="spellEnd"/>
      <w:r>
        <w:t>.</w:t>
      </w:r>
    </w:p>
    <w:p w14:paraId="2AA4B66E" w14:textId="77777777" w:rsidR="005152F6" w:rsidRPr="005152F6" w:rsidRDefault="005152F6" w:rsidP="000A344F">
      <w:pPr>
        <w:spacing w:before="100" w:beforeAutospacing="1" w:after="100" w:afterAutospacing="1" w:line="240" w:lineRule="auto"/>
        <w:jc w:val="both"/>
        <w:outlineLvl w:val="2"/>
        <w:rPr>
          <w:sz w:val="8"/>
          <w:szCs w:val="8"/>
        </w:rPr>
      </w:pPr>
    </w:p>
    <w:p w14:paraId="7DBF7D26" w14:textId="50CC9AF9" w:rsidR="000A344F" w:rsidRPr="00B2524A" w:rsidRDefault="000A344F" w:rsidP="00B2524A">
      <w:pPr>
        <w:pStyle w:val="ListParagraph"/>
        <w:numPr>
          <w:ilvl w:val="0"/>
          <w:numId w:val="6"/>
        </w:numPr>
        <w:spacing w:before="100" w:beforeAutospacing="1" w:after="100" w:afterAutospacing="1" w:line="240" w:lineRule="auto"/>
        <w:jc w:val="both"/>
        <w:outlineLvl w:val="2"/>
        <w:rPr>
          <w:rFonts w:eastAsia="Times New Roman" w:cs="Times New Roman"/>
          <w:b/>
          <w:bCs/>
          <w:sz w:val="27"/>
          <w:szCs w:val="27"/>
          <w:lang w:val="mk-MK" w:eastAsia="mk-MK"/>
        </w:rPr>
      </w:pPr>
      <w:r w:rsidRPr="00B2524A">
        <w:rPr>
          <w:rFonts w:eastAsia="Times New Roman" w:cs="Times New Roman"/>
          <w:b/>
          <w:bCs/>
          <w:sz w:val="27"/>
          <w:szCs w:val="27"/>
          <w:lang w:val="mk-MK" w:eastAsia="mk-MK"/>
        </w:rPr>
        <w:t>АНАЛИЗА НА ТРЕНДОВИ И СПОРЕДБА СО ПРЕТХОДНИ ГОДИНИ</w:t>
      </w:r>
    </w:p>
    <w:p w14:paraId="36311E3B" w14:textId="753801EB" w:rsidR="000A344F" w:rsidRDefault="005926C1" w:rsidP="000A344F">
      <w:pPr>
        <w:spacing w:before="100" w:beforeAutospacing="1" w:after="100" w:afterAutospacing="1" w:line="240" w:lineRule="auto"/>
        <w:jc w:val="both"/>
        <w:rPr>
          <w:rFonts w:eastAsia="Times New Roman" w:cs="Times New Roman"/>
          <w:lang w:val="mk-MK" w:eastAsia="mk-MK"/>
        </w:rPr>
      </w:pPr>
      <w:r w:rsidRPr="005926C1">
        <w:rPr>
          <w:rFonts w:eastAsia="Times New Roman" w:cs="Times New Roman"/>
          <w:lang w:val="mk-MK" w:eastAsia="mk-MK"/>
        </w:rPr>
        <w:t>Споредбата на податоците за молчење</w:t>
      </w:r>
      <w:r>
        <w:rPr>
          <w:rFonts w:eastAsia="Times New Roman" w:cs="Times New Roman"/>
          <w:lang w:val="mk-MK" w:eastAsia="mk-MK"/>
        </w:rPr>
        <w:t xml:space="preserve"> </w:t>
      </w:r>
      <w:r w:rsidRPr="005926C1">
        <w:rPr>
          <w:rFonts w:eastAsia="Times New Roman" w:cs="Times New Roman"/>
          <w:lang w:val="mk-MK" w:eastAsia="mk-MK"/>
        </w:rPr>
        <w:t>на управта во последните пет години, укажува на стабилен, но неприфатлив тренд: молчењето на управата е постојано присутен помеѓу 60% и 80% од поднесените жалби.</w:t>
      </w:r>
    </w:p>
    <w:tbl>
      <w:tblPr>
        <w:tblW w:w="9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3674"/>
        <w:gridCol w:w="3663"/>
      </w:tblGrid>
      <w:tr w:rsidR="00CE260E" w:rsidRPr="00DC4B9D" w14:paraId="531FC06A" w14:textId="77777777" w:rsidTr="005152F6">
        <w:trPr>
          <w:trHeight w:val="991"/>
        </w:trPr>
        <w:tc>
          <w:tcPr>
            <w:tcW w:w="1779" w:type="dxa"/>
          </w:tcPr>
          <w:p w14:paraId="03C86A3B" w14:textId="77777777" w:rsidR="00CE260E" w:rsidRPr="00DC4B9D" w:rsidRDefault="00CE260E" w:rsidP="00BE38F5">
            <w:pPr>
              <w:pStyle w:val="Default"/>
              <w:rPr>
                <w:rFonts w:ascii="StobiSerif Regular" w:hAnsi="StobiSerif Regular"/>
              </w:rPr>
            </w:pPr>
            <w:r w:rsidRPr="00DC4B9D">
              <w:rPr>
                <w:rFonts w:ascii="StobiSerif Regular" w:hAnsi="StobiSerif Regular"/>
                <w:b/>
                <w:bCs/>
              </w:rPr>
              <w:t xml:space="preserve">Година </w:t>
            </w:r>
          </w:p>
        </w:tc>
        <w:tc>
          <w:tcPr>
            <w:tcW w:w="3674" w:type="dxa"/>
          </w:tcPr>
          <w:p w14:paraId="3AA01826" w14:textId="77777777" w:rsidR="00CE260E" w:rsidRPr="00DC4B9D" w:rsidRDefault="00CE260E" w:rsidP="00BE38F5">
            <w:pPr>
              <w:pStyle w:val="Default"/>
              <w:rPr>
                <w:rFonts w:ascii="StobiSerif Regular" w:hAnsi="StobiSerif Regular"/>
              </w:rPr>
            </w:pPr>
            <w:r w:rsidRPr="00DC4B9D">
              <w:rPr>
                <w:rFonts w:ascii="StobiSerif Regular" w:hAnsi="StobiSerif Regular"/>
                <w:b/>
                <w:bCs/>
              </w:rPr>
              <w:t xml:space="preserve">Жалби до Агенцијата поднесени поради молчење </w:t>
            </w:r>
          </w:p>
        </w:tc>
        <w:tc>
          <w:tcPr>
            <w:tcW w:w="3663" w:type="dxa"/>
          </w:tcPr>
          <w:p w14:paraId="2ACB44EB" w14:textId="77777777" w:rsidR="00CE260E" w:rsidRPr="00DC4B9D" w:rsidRDefault="00CE260E" w:rsidP="00BE38F5">
            <w:pPr>
              <w:pStyle w:val="Default"/>
              <w:rPr>
                <w:rFonts w:ascii="StobiSerif Regular" w:hAnsi="StobiSerif Regular"/>
              </w:rPr>
            </w:pPr>
            <w:r w:rsidRPr="00DC4B9D">
              <w:rPr>
                <w:rFonts w:ascii="StobiSerif Regular" w:hAnsi="StobiSerif Regular"/>
                <w:b/>
                <w:bCs/>
              </w:rPr>
              <w:t xml:space="preserve">Вкупен број жалби </w:t>
            </w:r>
          </w:p>
        </w:tc>
      </w:tr>
      <w:tr w:rsidR="00CE260E" w:rsidRPr="00DC4B9D" w14:paraId="3CFED6D1" w14:textId="77777777" w:rsidTr="0070569B">
        <w:trPr>
          <w:trHeight w:val="667"/>
        </w:trPr>
        <w:tc>
          <w:tcPr>
            <w:tcW w:w="1779" w:type="dxa"/>
          </w:tcPr>
          <w:p w14:paraId="1D0682F3" w14:textId="37840D40" w:rsidR="00CE260E" w:rsidRPr="00CE260E" w:rsidRDefault="00CE260E" w:rsidP="00BE38F5">
            <w:pPr>
              <w:pStyle w:val="Default"/>
              <w:rPr>
                <w:rFonts w:ascii="StobiSerif Regular" w:hAnsi="StobiSerif Regular"/>
              </w:rPr>
            </w:pPr>
            <w:r w:rsidRPr="00CE260E">
              <w:rPr>
                <w:rFonts w:ascii="StobiSerif Regular" w:hAnsi="StobiSerif Regular"/>
              </w:rPr>
              <w:t>2024</w:t>
            </w:r>
          </w:p>
        </w:tc>
        <w:tc>
          <w:tcPr>
            <w:tcW w:w="3674" w:type="dxa"/>
          </w:tcPr>
          <w:p w14:paraId="1DDA561B" w14:textId="2680A54C" w:rsidR="00CE260E" w:rsidRPr="00CE260E" w:rsidRDefault="00CE260E" w:rsidP="00BE38F5">
            <w:pPr>
              <w:pStyle w:val="Default"/>
              <w:rPr>
                <w:rFonts w:ascii="StobiSerif Regular" w:hAnsi="StobiSerif Regular"/>
              </w:rPr>
            </w:pPr>
            <w:r w:rsidRPr="00CE260E">
              <w:rPr>
                <w:rFonts w:ascii="StobiSerif Regular" w:hAnsi="StobiSerif Regular"/>
              </w:rPr>
              <w:t>245-69%</w:t>
            </w:r>
          </w:p>
        </w:tc>
        <w:tc>
          <w:tcPr>
            <w:tcW w:w="3663" w:type="dxa"/>
          </w:tcPr>
          <w:p w14:paraId="5C261BA1" w14:textId="2A0DB2B4" w:rsidR="00CE260E" w:rsidRPr="00CE260E" w:rsidRDefault="00CE260E" w:rsidP="00BE38F5">
            <w:pPr>
              <w:pStyle w:val="Default"/>
              <w:rPr>
                <w:rFonts w:ascii="StobiSerif Regular" w:hAnsi="StobiSerif Regular"/>
              </w:rPr>
            </w:pPr>
            <w:r w:rsidRPr="00CE260E">
              <w:rPr>
                <w:rFonts w:ascii="StobiSerif Regular" w:hAnsi="StobiSerif Regular"/>
              </w:rPr>
              <w:t>354</w:t>
            </w:r>
          </w:p>
        </w:tc>
      </w:tr>
      <w:tr w:rsidR="00CE260E" w:rsidRPr="00DC4B9D" w14:paraId="6F27322A" w14:textId="77777777" w:rsidTr="0070569B">
        <w:trPr>
          <w:trHeight w:val="825"/>
        </w:trPr>
        <w:tc>
          <w:tcPr>
            <w:tcW w:w="1779" w:type="dxa"/>
          </w:tcPr>
          <w:p w14:paraId="04258292" w14:textId="77777777" w:rsidR="00CE260E" w:rsidRPr="00DC4B9D" w:rsidRDefault="00CE260E" w:rsidP="00BE38F5">
            <w:pPr>
              <w:pStyle w:val="Default"/>
              <w:rPr>
                <w:rFonts w:ascii="StobiSerif Regular" w:hAnsi="StobiSerif Regular"/>
              </w:rPr>
            </w:pPr>
            <w:r w:rsidRPr="00DC4B9D">
              <w:rPr>
                <w:rFonts w:ascii="StobiSerif Regular" w:hAnsi="StobiSerif Regular"/>
              </w:rPr>
              <w:t>2023</w:t>
            </w:r>
          </w:p>
        </w:tc>
        <w:tc>
          <w:tcPr>
            <w:tcW w:w="3674" w:type="dxa"/>
          </w:tcPr>
          <w:p w14:paraId="2E0EC945" w14:textId="77777777" w:rsidR="00CE260E" w:rsidRPr="00DC4B9D" w:rsidRDefault="00CE260E" w:rsidP="00BE38F5">
            <w:pPr>
              <w:pStyle w:val="Default"/>
              <w:rPr>
                <w:rFonts w:ascii="StobiSerif Regular" w:hAnsi="StobiSerif Regular"/>
              </w:rPr>
            </w:pPr>
            <w:r w:rsidRPr="00DC4B9D">
              <w:rPr>
                <w:rFonts w:ascii="StobiSerif Regular" w:hAnsi="StobiSerif Regular"/>
              </w:rPr>
              <w:t>277 - 61%</w:t>
            </w:r>
          </w:p>
        </w:tc>
        <w:tc>
          <w:tcPr>
            <w:tcW w:w="3663" w:type="dxa"/>
          </w:tcPr>
          <w:p w14:paraId="084C38AE" w14:textId="77777777" w:rsidR="00CE260E" w:rsidRPr="00DC4B9D" w:rsidRDefault="00CE260E" w:rsidP="00BE38F5">
            <w:pPr>
              <w:pStyle w:val="Default"/>
              <w:rPr>
                <w:rFonts w:ascii="StobiSerif Regular" w:hAnsi="StobiSerif Regular"/>
              </w:rPr>
            </w:pPr>
            <w:r w:rsidRPr="00DC4B9D">
              <w:rPr>
                <w:rFonts w:ascii="StobiSerif Regular" w:hAnsi="StobiSerif Regular"/>
              </w:rPr>
              <w:t>453</w:t>
            </w:r>
          </w:p>
        </w:tc>
      </w:tr>
      <w:tr w:rsidR="00CE260E" w:rsidRPr="00DC4B9D" w14:paraId="6284BC1B" w14:textId="77777777" w:rsidTr="0070569B">
        <w:trPr>
          <w:trHeight w:val="410"/>
        </w:trPr>
        <w:tc>
          <w:tcPr>
            <w:tcW w:w="1779" w:type="dxa"/>
          </w:tcPr>
          <w:p w14:paraId="4DBC75FC" w14:textId="77777777" w:rsidR="00CE260E" w:rsidRPr="00DC4B9D" w:rsidRDefault="00CE260E" w:rsidP="00BE38F5">
            <w:pPr>
              <w:pStyle w:val="Default"/>
              <w:rPr>
                <w:rFonts w:ascii="StobiSerif Regular" w:hAnsi="StobiSerif Regular"/>
              </w:rPr>
            </w:pPr>
            <w:r w:rsidRPr="00DC4B9D">
              <w:rPr>
                <w:rFonts w:ascii="StobiSerif Regular" w:hAnsi="StobiSerif Regular"/>
              </w:rPr>
              <w:t xml:space="preserve">2022 </w:t>
            </w:r>
          </w:p>
        </w:tc>
        <w:tc>
          <w:tcPr>
            <w:tcW w:w="3674" w:type="dxa"/>
          </w:tcPr>
          <w:p w14:paraId="520720C8" w14:textId="77777777" w:rsidR="00CE260E" w:rsidRPr="00DC4B9D" w:rsidRDefault="00CE260E" w:rsidP="00BE38F5">
            <w:pPr>
              <w:pStyle w:val="Default"/>
              <w:rPr>
                <w:rFonts w:ascii="StobiSerif Regular" w:hAnsi="StobiSerif Regular"/>
              </w:rPr>
            </w:pPr>
            <w:r w:rsidRPr="00DC4B9D">
              <w:rPr>
                <w:rFonts w:ascii="StobiSerif Regular" w:hAnsi="StobiSerif Regular"/>
              </w:rPr>
              <w:t xml:space="preserve">211 – 62 % </w:t>
            </w:r>
          </w:p>
        </w:tc>
        <w:tc>
          <w:tcPr>
            <w:tcW w:w="3663" w:type="dxa"/>
          </w:tcPr>
          <w:p w14:paraId="7681897F" w14:textId="77777777" w:rsidR="00CE260E" w:rsidRPr="00DC4B9D" w:rsidRDefault="00CE260E" w:rsidP="00BE38F5">
            <w:pPr>
              <w:pStyle w:val="Default"/>
              <w:rPr>
                <w:rFonts w:ascii="StobiSerif Regular" w:hAnsi="StobiSerif Regular"/>
              </w:rPr>
            </w:pPr>
            <w:r w:rsidRPr="00DC4B9D">
              <w:rPr>
                <w:rFonts w:ascii="StobiSerif Regular" w:hAnsi="StobiSerif Regular"/>
              </w:rPr>
              <w:t xml:space="preserve">343 </w:t>
            </w:r>
          </w:p>
        </w:tc>
      </w:tr>
      <w:tr w:rsidR="00CE260E" w:rsidRPr="00DC4B9D" w14:paraId="0A88C510" w14:textId="77777777" w:rsidTr="0070569B">
        <w:trPr>
          <w:trHeight w:val="410"/>
        </w:trPr>
        <w:tc>
          <w:tcPr>
            <w:tcW w:w="1779" w:type="dxa"/>
          </w:tcPr>
          <w:p w14:paraId="1931321A" w14:textId="77777777" w:rsidR="00CE260E" w:rsidRPr="00DC4B9D" w:rsidRDefault="00CE260E" w:rsidP="00BE38F5">
            <w:pPr>
              <w:pStyle w:val="Default"/>
              <w:rPr>
                <w:rFonts w:ascii="StobiSerif Regular" w:hAnsi="StobiSerif Regular"/>
              </w:rPr>
            </w:pPr>
            <w:r w:rsidRPr="00DC4B9D">
              <w:rPr>
                <w:rFonts w:ascii="StobiSerif Regular" w:hAnsi="StobiSerif Regular"/>
              </w:rPr>
              <w:t xml:space="preserve">2021 </w:t>
            </w:r>
          </w:p>
        </w:tc>
        <w:tc>
          <w:tcPr>
            <w:tcW w:w="3674" w:type="dxa"/>
          </w:tcPr>
          <w:p w14:paraId="0F5BBE34" w14:textId="77777777" w:rsidR="00CE260E" w:rsidRPr="00DC4B9D" w:rsidRDefault="00CE260E" w:rsidP="00BE38F5">
            <w:pPr>
              <w:pStyle w:val="Default"/>
              <w:rPr>
                <w:rFonts w:ascii="StobiSerif Regular" w:hAnsi="StobiSerif Regular"/>
              </w:rPr>
            </w:pPr>
            <w:r w:rsidRPr="00DC4B9D">
              <w:rPr>
                <w:rFonts w:ascii="StobiSerif Regular" w:hAnsi="StobiSerif Regular"/>
              </w:rPr>
              <w:t xml:space="preserve">359 – 45 % </w:t>
            </w:r>
          </w:p>
        </w:tc>
        <w:tc>
          <w:tcPr>
            <w:tcW w:w="3663" w:type="dxa"/>
          </w:tcPr>
          <w:p w14:paraId="4D9C918E" w14:textId="77777777" w:rsidR="00CE260E" w:rsidRPr="00DC4B9D" w:rsidRDefault="00CE260E" w:rsidP="00BE38F5">
            <w:pPr>
              <w:pStyle w:val="Default"/>
              <w:rPr>
                <w:rFonts w:ascii="StobiSerif Regular" w:hAnsi="StobiSerif Regular"/>
              </w:rPr>
            </w:pPr>
            <w:r w:rsidRPr="00DC4B9D">
              <w:rPr>
                <w:rFonts w:ascii="StobiSerif Regular" w:hAnsi="StobiSerif Regular"/>
              </w:rPr>
              <w:t xml:space="preserve">798 </w:t>
            </w:r>
          </w:p>
        </w:tc>
      </w:tr>
      <w:tr w:rsidR="00CE260E" w:rsidRPr="00DC4B9D" w14:paraId="44A98790" w14:textId="77777777" w:rsidTr="0070569B">
        <w:trPr>
          <w:trHeight w:val="410"/>
        </w:trPr>
        <w:tc>
          <w:tcPr>
            <w:tcW w:w="1779" w:type="dxa"/>
          </w:tcPr>
          <w:p w14:paraId="3BFCAD70" w14:textId="77777777" w:rsidR="00CE260E" w:rsidRPr="00DC4B9D" w:rsidRDefault="00CE260E" w:rsidP="00BE38F5">
            <w:pPr>
              <w:pStyle w:val="Default"/>
              <w:rPr>
                <w:rFonts w:ascii="StobiSerif Regular" w:hAnsi="StobiSerif Regular"/>
              </w:rPr>
            </w:pPr>
            <w:r w:rsidRPr="00DC4B9D">
              <w:rPr>
                <w:rFonts w:ascii="StobiSerif Regular" w:hAnsi="StobiSerif Regular"/>
              </w:rPr>
              <w:t xml:space="preserve">2020 </w:t>
            </w:r>
          </w:p>
        </w:tc>
        <w:tc>
          <w:tcPr>
            <w:tcW w:w="3674" w:type="dxa"/>
          </w:tcPr>
          <w:p w14:paraId="6796651F" w14:textId="77777777" w:rsidR="00CE260E" w:rsidRPr="00DC4B9D" w:rsidRDefault="00CE260E" w:rsidP="00BE38F5">
            <w:pPr>
              <w:pStyle w:val="Default"/>
              <w:rPr>
                <w:rFonts w:ascii="StobiSerif Regular" w:hAnsi="StobiSerif Regular"/>
              </w:rPr>
            </w:pPr>
            <w:r w:rsidRPr="00DC4B9D">
              <w:rPr>
                <w:rFonts w:ascii="StobiSerif Regular" w:hAnsi="StobiSerif Regular"/>
              </w:rPr>
              <w:t xml:space="preserve">611 – 81 % </w:t>
            </w:r>
          </w:p>
        </w:tc>
        <w:tc>
          <w:tcPr>
            <w:tcW w:w="3663" w:type="dxa"/>
          </w:tcPr>
          <w:p w14:paraId="0FB24263" w14:textId="77777777" w:rsidR="00CE260E" w:rsidRPr="00DC4B9D" w:rsidRDefault="00CE260E" w:rsidP="00BE38F5">
            <w:pPr>
              <w:pStyle w:val="Default"/>
              <w:rPr>
                <w:rFonts w:ascii="StobiSerif Regular" w:hAnsi="StobiSerif Regular"/>
              </w:rPr>
            </w:pPr>
            <w:r w:rsidRPr="00DC4B9D">
              <w:rPr>
                <w:rFonts w:ascii="StobiSerif Regular" w:hAnsi="StobiSerif Regular"/>
              </w:rPr>
              <w:t xml:space="preserve">752 </w:t>
            </w:r>
          </w:p>
        </w:tc>
      </w:tr>
    </w:tbl>
    <w:p w14:paraId="37B21826" w14:textId="77777777" w:rsidR="00CE260E" w:rsidRDefault="00CE260E" w:rsidP="00CE260E">
      <w:pPr>
        <w:rPr>
          <w:rFonts w:eastAsia="Times New Roman" w:cs="Times New Roman"/>
          <w:sz w:val="4"/>
          <w:szCs w:val="4"/>
          <w:lang w:val="mk-MK" w:eastAsia="mk-MK"/>
        </w:rPr>
      </w:pPr>
    </w:p>
    <w:p w14:paraId="76035727" w14:textId="1783D5E9" w:rsidR="000D738B" w:rsidRDefault="000D738B" w:rsidP="00CE260E">
      <w:pPr>
        <w:jc w:val="center"/>
        <w:rPr>
          <w:b/>
          <w:bCs/>
          <w:i/>
          <w:iCs/>
          <w:sz w:val="20"/>
          <w:szCs w:val="20"/>
        </w:rPr>
      </w:pPr>
      <w:proofErr w:type="spellStart"/>
      <w:r w:rsidRPr="00DC4B9D">
        <w:rPr>
          <w:b/>
          <w:bCs/>
          <w:i/>
          <w:iCs/>
          <w:sz w:val="20"/>
          <w:szCs w:val="20"/>
        </w:rPr>
        <w:t>Мол</w:t>
      </w:r>
      <w:proofErr w:type="spellEnd"/>
      <w:r w:rsidR="009A0047">
        <w:rPr>
          <w:b/>
          <w:bCs/>
          <w:i/>
          <w:iCs/>
          <w:sz w:val="20"/>
          <w:szCs w:val="20"/>
          <w:lang w:val="mk-MK"/>
        </w:rPr>
        <w:t>кот на управата</w:t>
      </w:r>
      <w:r w:rsidRPr="00DC4B9D">
        <w:rPr>
          <w:b/>
          <w:bCs/>
          <w:i/>
          <w:iCs/>
          <w:sz w:val="20"/>
          <w:szCs w:val="20"/>
        </w:rPr>
        <w:t xml:space="preserve"> </w:t>
      </w:r>
      <w:proofErr w:type="spellStart"/>
      <w:r w:rsidRPr="00DC4B9D">
        <w:rPr>
          <w:b/>
          <w:bCs/>
          <w:i/>
          <w:iCs/>
          <w:sz w:val="20"/>
          <w:szCs w:val="20"/>
        </w:rPr>
        <w:t>како</w:t>
      </w:r>
      <w:proofErr w:type="spellEnd"/>
      <w:r w:rsidRPr="00DC4B9D">
        <w:rPr>
          <w:b/>
          <w:bCs/>
          <w:i/>
          <w:iCs/>
          <w:sz w:val="20"/>
          <w:szCs w:val="20"/>
        </w:rPr>
        <w:t xml:space="preserve"> </w:t>
      </w:r>
      <w:proofErr w:type="spellStart"/>
      <w:r w:rsidRPr="00DC4B9D">
        <w:rPr>
          <w:b/>
          <w:bCs/>
          <w:i/>
          <w:iCs/>
          <w:sz w:val="20"/>
          <w:szCs w:val="20"/>
        </w:rPr>
        <w:t>причина</w:t>
      </w:r>
      <w:proofErr w:type="spellEnd"/>
      <w:r w:rsidRPr="00DC4B9D">
        <w:rPr>
          <w:b/>
          <w:bCs/>
          <w:i/>
          <w:iCs/>
          <w:sz w:val="20"/>
          <w:szCs w:val="20"/>
        </w:rPr>
        <w:t xml:space="preserve"> </w:t>
      </w:r>
      <w:proofErr w:type="spellStart"/>
      <w:r w:rsidRPr="00DC4B9D">
        <w:rPr>
          <w:b/>
          <w:bCs/>
          <w:i/>
          <w:iCs/>
          <w:sz w:val="20"/>
          <w:szCs w:val="20"/>
        </w:rPr>
        <w:t>за</w:t>
      </w:r>
      <w:proofErr w:type="spellEnd"/>
      <w:r w:rsidRPr="00DC4B9D">
        <w:rPr>
          <w:b/>
          <w:bCs/>
          <w:i/>
          <w:iCs/>
          <w:sz w:val="20"/>
          <w:szCs w:val="20"/>
        </w:rPr>
        <w:t xml:space="preserve"> </w:t>
      </w:r>
      <w:proofErr w:type="spellStart"/>
      <w:r w:rsidRPr="00DC4B9D">
        <w:rPr>
          <w:b/>
          <w:bCs/>
          <w:i/>
          <w:iCs/>
          <w:sz w:val="20"/>
          <w:szCs w:val="20"/>
        </w:rPr>
        <w:t>поднесување</w:t>
      </w:r>
      <w:proofErr w:type="spellEnd"/>
      <w:r w:rsidRPr="00DC4B9D">
        <w:rPr>
          <w:b/>
          <w:bCs/>
          <w:i/>
          <w:iCs/>
          <w:sz w:val="20"/>
          <w:szCs w:val="20"/>
        </w:rPr>
        <w:t xml:space="preserve"> </w:t>
      </w:r>
      <w:proofErr w:type="spellStart"/>
      <w:r w:rsidRPr="00DC4B9D">
        <w:rPr>
          <w:b/>
          <w:bCs/>
          <w:i/>
          <w:iCs/>
          <w:sz w:val="20"/>
          <w:szCs w:val="20"/>
        </w:rPr>
        <w:t>жалба</w:t>
      </w:r>
      <w:proofErr w:type="spellEnd"/>
      <w:r w:rsidRPr="00DC4B9D">
        <w:rPr>
          <w:b/>
          <w:bCs/>
          <w:i/>
          <w:iCs/>
          <w:sz w:val="20"/>
          <w:szCs w:val="20"/>
        </w:rPr>
        <w:t xml:space="preserve"> </w:t>
      </w:r>
      <w:proofErr w:type="spellStart"/>
      <w:r w:rsidRPr="00DC4B9D">
        <w:rPr>
          <w:b/>
          <w:bCs/>
          <w:i/>
          <w:iCs/>
          <w:sz w:val="20"/>
          <w:szCs w:val="20"/>
        </w:rPr>
        <w:t>до</w:t>
      </w:r>
      <w:proofErr w:type="spellEnd"/>
      <w:r w:rsidRPr="00DC4B9D">
        <w:rPr>
          <w:b/>
          <w:bCs/>
          <w:i/>
          <w:iCs/>
          <w:sz w:val="20"/>
          <w:szCs w:val="20"/>
        </w:rPr>
        <w:t xml:space="preserve"> А</w:t>
      </w:r>
      <w:r w:rsidRPr="00DC4B9D">
        <w:rPr>
          <w:b/>
          <w:bCs/>
          <w:i/>
          <w:iCs/>
          <w:sz w:val="20"/>
          <w:szCs w:val="20"/>
          <w:lang w:val="mk-MK"/>
        </w:rPr>
        <w:t>генцијата</w:t>
      </w:r>
    </w:p>
    <w:p w14:paraId="5F7D0AFB" w14:textId="77777777" w:rsidR="000D738B" w:rsidRPr="00B2524A" w:rsidRDefault="000D738B" w:rsidP="000D738B">
      <w:pPr>
        <w:rPr>
          <w:b/>
          <w:bCs/>
          <w:i/>
          <w:iCs/>
          <w:sz w:val="4"/>
          <w:szCs w:val="4"/>
        </w:rPr>
      </w:pPr>
    </w:p>
    <w:p w14:paraId="088C2EBB" w14:textId="602D62E3" w:rsidR="006004AA" w:rsidRPr="005152F6" w:rsidRDefault="006004AA" w:rsidP="006004AA">
      <w:pPr>
        <w:spacing w:before="100" w:beforeAutospacing="1" w:after="100" w:afterAutospacing="1" w:line="240" w:lineRule="auto"/>
        <w:jc w:val="both"/>
        <w:rPr>
          <w:rFonts w:eastAsia="Times New Roman" w:cs="Times New Roman"/>
          <w:lang w:val="mk-MK" w:eastAsia="mk-MK"/>
        </w:rPr>
      </w:pPr>
      <w:r w:rsidRPr="005152F6">
        <w:rPr>
          <w:rFonts w:eastAsia="Times New Roman" w:cs="Times New Roman"/>
          <w:lang w:val="mk-MK" w:eastAsia="mk-MK"/>
        </w:rPr>
        <w:t>Иако има одредени флуктуации во бројот на вкупни жалби, процентот на оние што се однесуваат на молчењето на управата, останува висок и стабилен, со благо опаѓање во 2021 година, но повторно враќање на високо ниво во последните три години. Ова укажува на длабоко вкоренета институционална незаинтересираност за почитување на Законот за слободен пристап до информации од јавен карактер.</w:t>
      </w:r>
    </w:p>
    <w:p w14:paraId="093BCE24" w14:textId="60366E46" w:rsidR="006004AA" w:rsidRPr="005152F6" w:rsidRDefault="006004AA" w:rsidP="006004AA">
      <w:pPr>
        <w:spacing w:before="100" w:beforeAutospacing="1" w:after="100" w:afterAutospacing="1" w:line="240" w:lineRule="auto"/>
        <w:jc w:val="both"/>
        <w:rPr>
          <w:rFonts w:eastAsia="Times New Roman" w:cs="Times New Roman"/>
          <w:lang w:val="mk-MK" w:eastAsia="mk-MK"/>
        </w:rPr>
      </w:pPr>
      <w:r w:rsidRPr="005152F6">
        <w:rPr>
          <w:rFonts w:eastAsia="Times New Roman" w:cs="Times New Roman"/>
          <w:lang w:val="mk-MK" w:eastAsia="mk-MK"/>
        </w:rPr>
        <w:t>Особено загрижува фактот што истите институции – како Град Скопје и Општина Охрид, како и Министерството за финасии и Министерствата за здравство и транспорт - се повторуваат како иматели кои го игнорираат законското право на пристап до информации. Тоа укажува на хроничен институционален проблем, а не на поединечни или временски ограничени пропусти.</w:t>
      </w:r>
    </w:p>
    <w:p w14:paraId="399D2BC4" w14:textId="6E6B2673" w:rsidR="006004AA" w:rsidRPr="005152F6" w:rsidRDefault="006004AA" w:rsidP="006004AA">
      <w:pPr>
        <w:spacing w:before="100" w:beforeAutospacing="1" w:after="100" w:afterAutospacing="1" w:line="240" w:lineRule="auto"/>
        <w:jc w:val="both"/>
        <w:rPr>
          <w:rFonts w:eastAsia="Times New Roman" w:cs="Times New Roman"/>
          <w:lang w:val="mk-MK" w:eastAsia="mk-MK"/>
        </w:rPr>
      </w:pPr>
      <w:r w:rsidRPr="005152F6">
        <w:rPr>
          <w:rFonts w:eastAsia="Times New Roman" w:cs="Times New Roman"/>
          <w:lang w:val="mk-MK" w:eastAsia="mk-MK"/>
        </w:rPr>
        <w:t xml:space="preserve">Дополнително, бројот на жалби како апсолутна бројка варира, но останува висок, што сугерира дека граѓаните, новинарите и граѓанските организации </w:t>
      </w:r>
      <w:r w:rsidRPr="005152F6">
        <w:rPr>
          <w:rFonts w:eastAsia="Times New Roman" w:cs="Times New Roman"/>
          <w:lang w:val="mk-MK" w:eastAsia="mk-MK"/>
        </w:rPr>
        <w:lastRenderedPageBreak/>
        <w:t>сè повеќе го препознаваат молчењето како индикатор за нетранспарентност и бараат институционална реакција преку поднесување на жалби до Агенцијата. Од друга страна, тоа исто така укажува на растечки институционален товар врз Агенцијата, која мора да презема дејства таму каде што институциите не ја исполнуваат својата основна обврска – да одговорат во законскиот рок на поднесените барања.</w:t>
      </w:r>
    </w:p>
    <w:p w14:paraId="31250CEF" w14:textId="050CC892" w:rsidR="007F3239" w:rsidRDefault="006004AA" w:rsidP="007F3239">
      <w:pPr>
        <w:spacing w:before="100" w:beforeAutospacing="1" w:after="100" w:afterAutospacing="1" w:line="240" w:lineRule="auto"/>
        <w:jc w:val="both"/>
        <w:rPr>
          <w:rFonts w:eastAsia="Times New Roman" w:cs="Times New Roman"/>
          <w:lang w:val="mk-MK" w:eastAsia="mk-MK"/>
        </w:rPr>
      </w:pPr>
      <w:r w:rsidRPr="005152F6">
        <w:rPr>
          <w:rFonts w:eastAsia="Times New Roman" w:cs="Times New Roman"/>
          <w:lang w:val="mk-MK" w:eastAsia="mk-MK"/>
        </w:rPr>
        <w:t>Во демократски систем, молчењето на управата не смее да биде пракса. Тоа треба да се третира како облик на институционална пасивност со потенцијални последици врз јавната доверба, владеењето на правото и борбата против корупцијата.</w:t>
      </w:r>
      <w:r w:rsidRPr="006004AA">
        <w:rPr>
          <w:rFonts w:eastAsia="Times New Roman" w:cs="Times New Roman"/>
          <w:lang w:val="mk-MK" w:eastAsia="mk-MK"/>
        </w:rPr>
        <w:t xml:space="preserve"> </w:t>
      </w:r>
    </w:p>
    <w:p w14:paraId="567745F4" w14:textId="77777777" w:rsidR="007F3239" w:rsidRPr="007F3239" w:rsidRDefault="007F3239" w:rsidP="007F3239">
      <w:pPr>
        <w:spacing w:before="100" w:beforeAutospacing="1" w:after="100" w:afterAutospacing="1" w:line="240" w:lineRule="auto"/>
        <w:jc w:val="both"/>
        <w:rPr>
          <w:rFonts w:eastAsia="Times New Roman" w:cs="Times New Roman"/>
          <w:sz w:val="8"/>
          <w:szCs w:val="8"/>
          <w:lang w:val="mk-MK" w:eastAsia="mk-MK"/>
        </w:rPr>
      </w:pPr>
    </w:p>
    <w:p w14:paraId="7872D466" w14:textId="5CB54501" w:rsidR="000A344F" w:rsidRPr="007F3239" w:rsidRDefault="000A344F" w:rsidP="007F3239">
      <w:pPr>
        <w:pStyle w:val="ListParagraph"/>
        <w:numPr>
          <w:ilvl w:val="0"/>
          <w:numId w:val="6"/>
        </w:numPr>
        <w:spacing w:before="100" w:beforeAutospacing="1" w:after="100" w:afterAutospacing="1" w:line="240" w:lineRule="auto"/>
        <w:jc w:val="both"/>
        <w:rPr>
          <w:rFonts w:eastAsia="Times New Roman" w:cs="Times New Roman"/>
          <w:lang w:val="mk-MK" w:eastAsia="mk-MK"/>
        </w:rPr>
      </w:pPr>
      <w:r w:rsidRPr="007F3239">
        <w:rPr>
          <w:rFonts w:eastAsia="Times New Roman" w:cs="Times New Roman"/>
          <w:b/>
          <w:bCs/>
          <w:sz w:val="27"/>
          <w:szCs w:val="27"/>
          <w:lang w:val="mk-MK" w:eastAsia="mk-MK"/>
        </w:rPr>
        <w:t>ПРИЧИНИ ЗА МОЛ</w:t>
      </w:r>
      <w:r w:rsidR="0070569B" w:rsidRPr="007F3239">
        <w:rPr>
          <w:rFonts w:eastAsia="Times New Roman" w:cs="Times New Roman"/>
          <w:b/>
          <w:bCs/>
          <w:sz w:val="27"/>
          <w:szCs w:val="27"/>
          <w:lang w:val="mk-MK" w:eastAsia="mk-MK"/>
        </w:rPr>
        <w:t>ЧЕЊЕТО</w:t>
      </w:r>
      <w:r w:rsidRPr="007F3239">
        <w:rPr>
          <w:rFonts w:eastAsia="Times New Roman" w:cs="Times New Roman"/>
          <w:b/>
          <w:bCs/>
          <w:sz w:val="27"/>
          <w:szCs w:val="27"/>
          <w:lang w:val="mk-MK" w:eastAsia="mk-MK"/>
        </w:rPr>
        <w:t xml:space="preserve"> – ИНСТИТУЦИОНАЛНИ СЛАБОСТИ</w:t>
      </w:r>
    </w:p>
    <w:p w14:paraId="06CDD94B" w14:textId="032406BE" w:rsidR="0070569B" w:rsidRDefault="0070569B" w:rsidP="0070569B">
      <w:pPr>
        <w:spacing w:before="100" w:beforeAutospacing="1" w:after="100" w:afterAutospacing="1" w:line="240" w:lineRule="auto"/>
        <w:ind w:left="360"/>
        <w:jc w:val="both"/>
        <w:rPr>
          <w:rFonts w:eastAsia="Times New Roman" w:cs="Times New Roman"/>
          <w:lang w:val="mk-MK" w:eastAsia="mk-MK"/>
        </w:rPr>
      </w:pPr>
      <w:r w:rsidRPr="0070569B">
        <w:rPr>
          <w:rFonts w:eastAsia="Times New Roman" w:cs="Times New Roman"/>
          <w:lang w:val="mk-MK" w:eastAsia="mk-MK"/>
        </w:rPr>
        <w:t>Анализата на жалбите поради молчењето на управата укажува дека проблемот е длабоко вкоренет во институционалната култура и административната пракса. Се идентификуваат неколку клучни фактори кои го објаснуваат ширењето и упорноста на молчењето:</w:t>
      </w:r>
    </w:p>
    <w:p w14:paraId="136D385F" w14:textId="4C176CD0" w:rsidR="0070569B" w:rsidRDefault="000A344F" w:rsidP="0070569B">
      <w:pPr>
        <w:pStyle w:val="ListParagraph"/>
        <w:numPr>
          <w:ilvl w:val="0"/>
          <w:numId w:val="9"/>
        </w:numPr>
        <w:spacing w:before="100" w:beforeAutospacing="1" w:after="100" w:afterAutospacing="1" w:line="240" w:lineRule="auto"/>
        <w:ind w:left="709" w:hanging="425"/>
        <w:jc w:val="both"/>
        <w:rPr>
          <w:rFonts w:eastAsia="Times New Roman" w:cs="Times New Roman"/>
          <w:lang w:val="mk-MK" w:eastAsia="mk-MK"/>
        </w:rPr>
      </w:pPr>
      <w:r w:rsidRPr="0070569B">
        <w:rPr>
          <w:rFonts w:eastAsia="Times New Roman" w:cs="Times New Roman"/>
          <w:b/>
          <w:bCs/>
          <w:lang w:val="mk-MK" w:eastAsia="mk-MK"/>
        </w:rPr>
        <w:t>Недостаток на внатрешни процедури и стандарди:</w:t>
      </w:r>
      <w:r w:rsidRPr="0070569B">
        <w:rPr>
          <w:rFonts w:eastAsia="Times New Roman" w:cs="Times New Roman"/>
          <w:lang w:val="mk-MK" w:eastAsia="mk-MK"/>
        </w:rPr>
        <w:t xml:space="preserve"> Многу институции сè уште немаат воспоставени интерни механизми за евиденција, проследување и следење на постапувањето по барањата за информации. Отсуството на јасна организациска поставеност доведува до доцнење</w:t>
      </w:r>
      <w:r w:rsidR="009B0B61">
        <w:rPr>
          <w:rFonts w:eastAsia="Times New Roman" w:cs="Times New Roman"/>
          <w:lang w:val="mk-MK" w:eastAsia="mk-MK"/>
        </w:rPr>
        <w:t xml:space="preserve"> во постапувањето</w:t>
      </w:r>
      <w:r w:rsidRPr="0070569B">
        <w:rPr>
          <w:rFonts w:eastAsia="Times New Roman" w:cs="Times New Roman"/>
          <w:lang w:val="mk-MK" w:eastAsia="mk-MK"/>
        </w:rPr>
        <w:t xml:space="preserve"> или целосно игнорирање на барањата.</w:t>
      </w:r>
    </w:p>
    <w:p w14:paraId="1F046148" w14:textId="77777777" w:rsidR="0070569B" w:rsidRDefault="0070569B" w:rsidP="0070569B">
      <w:pPr>
        <w:pStyle w:val="ListParagraph"/>
        <w:spacing w:before="100" w:beforeAutospacing="1" w:after="100" w:afterAutospacing="1" w:line="240" w:lineRule="auto"/>
        <w:ind w:left="709"/>
        <w:jc w:val="both"/>
        <w:rPr>
          <w:rFonts w:eastAsia="Times New Roman" w:cs="Times New Roman"/>
          <w:lang w:val="mk-MK" w:eastAsia="mk-MK"/>
        </w:rPr>
      </w:pPr>
    </w:p>
    <w:p w14:paraId="59134A3A" w14:textId="72F08183" w:rsidR="000A344F" w:rsidRPr="0070569B" w:rsidRDefault="000A344F" w:rsidP="0070569B">
      <w:pPr>
        <w:pStyle w:val="ListParagraph"/>
        <w:numPr>
          <w:ilvl w:val="0"/>
          <w:numId w:val="9"/>
        </w:numPr>
        <w:spacing w:before="100" w:beforeAutospacing="1" w:after="100" w:afterAutospacing="1" w:line="240" w:lineRule="auto"/>
        <w:ind w:left="709" w:hanging="425"/>
        <w:jc w:val="both"/>
        <w:rPr>
          <w:rFonts w:eastAsia="Times New Roman" w:cs="Times New Roman"/>
          <w:lang w:val="mk-MK" w:eastAsia="mk-MK"/>
        </w:rPr>
      </w:pPr>
      <w:r w:rsidRPr="0070569B">
        <w:rPr>
          <w:rFonts w:eastAsia="Times New Roman" w:cs="Times New Roman"/>
          <w:b/>
          <w:bCs/>
          <w:lang w:val="mk-MK" w:eastAsia="mk-MK"/>
        </w:rPr>
        <w:t>Слаба координација и внатрешна комуникација:</w:t>
      </w:r>
      <w:r w:rsidRPr="0070569B">
        <w:rPr>
          <w:rFonts w:eastAsia="Times New Roman" w:cs="Times New Roman"/>
          <w:lang w:val="mk-MK" w:eastAsia="mk-MK"/>
        </w:rPr>
        <w:t xml:space="preserve"> Барањата често заглавуваат во хиерархиски лавиринти и без јасни рокови за </w:t>
      </w:r>
      <w:r w:rsidR="00180887" w:rsidRPr="0070569B">
        <w:rPr>
          <w:rFonts w:eastAsia="Times New Roman" w:cs="Times New Roman"/>
          <w:lang w:val="mk-MK" w:eastAsia="mk-MK"/>
        </w:rPr>
        <w:t>постапување по поднесените барања</w:t>
      </w:r>
      <w:r w:rsidRPr="0070569B">
        <w:rPr>
          <w:rFonts w:eastAsia="Times New Roman" w:cs="Times New Roman"/>
          <w:lang w:val="mk-MK" w:eastAsia="mk-MK"/>
        </w:rPr>
        <w:t>. Тоа води до мол</w:t>
      </w:r>
      <w:r w:rsidR="0070569B">
        <w:rPr>
          <w:rFonts w:eastAsia="Times New Roman" w:cs="Times New Roman"/>
          <w:lang w:val="mk-MK" w:eastAsia="mk-MK"/>
        </w:rPr>
        <w:t>чење</w:t>
      </w:r>
      <w:r w:rsidRPr="0070569B">
        <w:rPr>
          <w:rFonts w:eastAsia="Times New Roman" w:cs="Times New Roman"/>
          <w:lang w:val="mk-MK" w:eastAsia="mk-MK"/>
        </w:rPr>
        <w:t xml:space="preserve"> дури и кога не постои свесна намера за </w:t>
      </w:r>
      <w:r w:rsidR="00180887" w:rsidRPr="0070569B">
        <w:rPr>
          <w:rFonts w:eastAsia="Times New Roman" w:cs="Times New Roman"/>
          <w:lang w:val="mk-MK" w:eastAsia="mk-MK"/>
        </w:rPr>
        <w:t>при</w:t>
      </w:r>
      <w:r w:rsidRPr="0070569B">
        <w:rPr>
          <w:rFonts w:eastAsia="Times New Roman" w:cs="Times New Roman"/>
          <w:lang w:val="mk-MK" w:eastAsia="mk-MK"/>
        </w:rPr>
        <w:t>кривање на информацијата.</w:t>
      </w:r>
    </w:p>
    <w:p w14:paraId="616F0953" w14:textId="082E5D1E" w:rsidR="0070569B" w:rsidRDefault="000A344F" w:rsidP="0070569B">
      <w:pPr>
        <w:numPr>
          <w:ilvl w:val="0"/>
          <w:numId w:val="3"/>
        </w:numPr>
        <w:spacing w:before="100" w:beforeAutospacing="1" w:after="100" w:afterAutospacing="1" w:line="240" w:lineRule="auto"/>
        <w:ind w:left="709" w:hanging="425"/>
        <w:jc w:val="both"/>
        <w:rPr>
          <w:rFonts w:eastAsia="Times New Roman" w:cs="Times New Roman"/>
          <w:lang w:val="mk-MK" w:eastAsia="mk-MK"/>
        </w:rPr>
      </w:pPr>
      <w:r w:rsidRPr="000A344F">
        <w:rPr>
          <w:rFonts w:eastAsia="Times New Roman" w:cs="Times New Roman"/>
          <w:b/>
          <w:bCs/>
          <w:lang w:val="mk-MK" w:eastAsia="mk-MK"/>
        </w:rPr>
        <w:t>Пасивност на службени</w:t>
      </w:r>
      <w:r w:rsidR="00180887">
        <w:rPr>
          <w:rFonts w:eastAsia="Times New Roman" w:cs="Times New Roman"/>
          <w:b/>
          <w:bCs/>
          <w:lang w:val="mk-MK" w:eastAsia="mk-MK"/>
        </w:rPr>
        <w:t>те лица</w:t>
      </w:r>
      <w:r w:rsidRPr="000A344F">
        <w:rPr>
          <w:rFonts w:eastAsia="Times New Roman" w:cs="Times New Roman"/>
          <w:b/>
          <w:bCs/>
          <w:lang w:val="mk-MK" w:eastAsia="mk-MK"/>
        </w:rPr>
        <w:t xml:space="preserve"> и недоволен надзор од раководствата:</w:t>
      </w:r>
      <w:r w:rsidRPr="000A344F">
        <w:rPr>
          <w:rFonts w:eastAsia="Times New Roman" w:cs="Times New Roman"/>
          <w:lang w:val="mk-MK" w:eastAsia="mk-MK"/>
        </w:rPr>
        <w:t xml:space="preserve"> И покрај одржувањето на обуки од страна на Агенцијата, практиката покажува дека многу службени</w:t>
      </w:r>
      <w:r w:rsidR="00180887">
        <w:rPr>
          <w:rFonts w:eastAsia="Times New Roman" w:cs="Times New Roman"/>
          <w:lang w:val="mk-MK" w:eastAsia="mk-MK"/>
        </w:rPr>
        <w:t xml:space="preserve"> лица</w:t>
      </w:r>
      <w:r w:rsidRPr="000A344F">
        <w:rPr>
          <w:rFonts w:eastAsia="Times New Roman" w:cs="Times New Roman"/>
          <w:lang w:val="mk-MK" w:eastAsia="mk-MK"/>
        </w:rPr>
        <w:t xml:space="preserve"> не го перципираат правото на пристап до информации како суштинско право. Раководните структури, пак, често се неангажирани или толерантни кон ваквото однесување.</w:t>
      </w:r>
    </w:p>
    <w:p w14:paraId="0A3A21D1" w14:textId="1298A481" w:rsidR="000A344F" w:rsidRPr="0070569B" w:rsidRDefault="000A344F" w:rsidP="0070569B">
      <w:pPr>
        <w:pStyle w:val="ListParagraph"/>
        <w:numPr>
          <w:ilvl w:val="0"/>
          <w:numId w:val="10"/>
        </w:numPr>
        <w:spacing w:before="100" w:beforeAutospacing="1" w:after="100" w:afterAutospacing="1" w:line="240" w:lineRule="auto"/>
        <w:jc w:val="both"/>
        <w:rPr>
          <w:rFonts w:eastAsia="Times New Roman" w:cs="Times New Roman"/>
          <w:lang w:val="mk-MK" w:eastAsia="mk-MK"/>
        </w:rPr>
      </w:pPr>
      <w:r w:rsidRPr="0070569B">
        <w:rPr>
          <w:rFonts w:eastAsia="Times New Roman" w:cs="Times New Roman"/>
          <w:b/>
          <w:bCs/>
          <w:lang w:val="mk-MK" w:eastAsia="mk-MK"/>
        </w:rPr>
        <w:t>Непочитување на обврската за проактивна транспарентност:</w:t>
      </w:r>
      <w:r w:rsidRPr="0070569B">
        <w:rPr>
          <w:rFonts w:eastAsia="Times New Roman" w:cs="Times New Roman"/>
          <w:lang w:val="mk-MK" w:eastAsia="mk-MK"/>
        </w:rPr>
        <w:t xml:space="preserve"> Членот 10 од Законот предвидува обврска за објавување на минимум </w:t>
      </w:r>
      <w:r w:rsidRPr="0070569B">
        <w:rPr>
          <w:rFonts w:eastAsia="Times New Roman" w:cs="Times New Roman"/>
          <w:lang w:val="mk-MK" w:eastAsia="mk-MK"/>
        </w:rPr>
        <w:lastRenderedPageBreak/>
        <w:t>информации на веб-страниците на институциите. Но, многу од нив не ги исполнуваат ни овие основни стандарди. Владината препорака од 2023 година за објавување на анонимизирани барања и одговори сè уште не е имплементирана кај повеќето институции.</w:t>
      </w:r>
    </w:p>
    <w:p w14:paraId="17A237C1" w14:textId="77777777" w:rsidR="007F3239" w:rsidRDefault="000A344F" w:rsidP="007F3239">
      <w:pPr>
        <w:spacing w:before="100" w:beforeAutospacing="1" w:after="100" w:afterAutospacing="1" w:line="240" w:lineRule="auto"/>
        <w:jc w:val="both"/>
        <w:rPr>
          <w:rFonts w:eastAsia="Times New Roman" w:cs="Times New Roman"/>
          <w:lang w:val="mk-MK" w:eastAsia="mk-MK"/>
        </w:rPr>
      </w:pPr>
      <w:r w:rsidRPr="000A344F">
        <w:rPr>
          <w:rFonts w:eastAsia="Times New Roman" w:cs="Times New Roman"/>
          <w:lang w:val="mk-MK" w:eastAsia="mk-MK"/>
        </w:rPr>
        <w:t>Овие причини укажуваат дека мол</w:t>
      </w:r>
      <w:r w:rsidR="0070569B">
        <w:rPr>
          <w:rFonts w:eastAsia="Times New Roman" w:cs="Times New Roman"/>
          <w:lang w:val="mk-MK" w:eastAsia="mk-MK"/>
        </w:rPr>
        <w:t>чењето</w:t>
      </w:r>
      <w:r w:rsidRPr="000A344F">
        <w:rPr>
          <w:rFonts w:eastAsia="Times New Roman" w:cs="Times New Roman"/>
          <w:lang w:val="mk-MK" w:eastAsia="mk-MK"/>
        </w:rPr>
        <w:t xml:space="preserve"> не е административна грешка, туку системски пропуст кој произлегува од слабата отчетност, недоволната професионализација на јавната администрација и отсуството на </w:t>
      </w:r>
      <w:r w:rsidR="00180887">
        <w:rPr>
          <w:rFonts w:eastAsia="Times New Roman" w:cs="Times New Roman"/>
          <w:lang w:val="mk-MK" w:eastAsia="mk-MK"/>
        </w:rPr>
        <w:t>одговорност кај раководните лица.</w:t>
      </w:r>
    </w:p>
    <w:p w14:paraId="024CF397" w14:textId="77777777" w:rsidR="007F3239" w:rsidRPr="007F3239" w:rsidRDefault="007F3239" w:rsidP="007F3239">
      <w:pPr>
        <w:spacing w:before="100" w:beforeAutospacing="1" w:after="100" w:afterAutospacing="1" w:line="240" w:lineRule="auto"/>
        <w:jc w:val="both"/>
        <w:rPr>
          <w:rFonts w:eastAsia="Times New Roman" w:cs="Times New Roman"/>
          <w:sz w:val="8"/>
          <w:szCs w:val="8"/>
          <w:lang w:val="mk-MK" w:eastAsia="mk-MK"/>
        </w:rPr>
      </w:pPr>
    </w:p>
    <w:p w14:paraId="0F69EAA8" w14:textId="4541A468" w:rsidR="00306E39" w:rsidRPr="007F3239" w:rsidRDefault="000A344F" w:rsidP="007F3239">
      <w:pPr>
        <w:pStyle w:val="ListParagraph"/>
        <w:numPr>
          <w:ilvl w:val="0"/>
          <w:numId w:val="6"/>
        </w:numPr>
        <w:spacing w:before="100" w:beforeAutospacing="1" w:after="100" w:afterAutospacing="1" w:line="240" w:lineRule="auto"/>
        <w:jc w:val="both"/>
        <w:rPr>
          <w:rFonts w:eastAsia="Times New Roman" w:cs="Times New Roman"/>
          <w:lang w:val="mk-MK" w:eastAsia="mk-MK"/>
        </w:rPr>
      </w:pPr>
      <w:r w:rsidRPr="007F3239">
        <w:rPr>
          <w:rFonts w:eastAsia="Times New Roman" w:cs="Times New Roman"/>
          <w:b/>
          <w:bCs/>
          <w:sz w:val="27"/>
          <w:szCs w:val="27"/>
          <w:lang w:val="mk-MK" w:eastAsia="mk-MK"/>
        </w:rPr>
        <w:t>ЗАКЛУЧОЦИ И ПРЕПОРАКИ</w:t>
      </w:r>
    </w:p>
    <w:p w14:paraId="7BF504D1" w14:textId="77777777" w:rsidR="00306E39" w:rsidRPr="00306E39" w:rsidRDefault="00306E39" w:rsidP="00306E39">
      <w:pPr>
        <w:pStyle w:val="ListParagraph"/>
        <w:spacing w:before="100" w:beforeAutospacing="1" w:after="100" w:afterAutospacing="1" w:line="240" w:lineRule="auto"/>
        <w:jc w:val="both"/>
        <w:outlineLvl w:val="2"/>
        <w:rPr>
          <w:rFonts w:eastAsia="Times New Roman" w:cs="Times New Roman"/>
          <w:b/>
          <w:bCs/>
          <w:sz w:val="4"/>
          <w:szCs w:val="4"/>
          <w:lang w:val="mk-MK" w:eastAsia="mk-MK"/>
        </w:rPr>
      </w:pPr>
    </w:p>
    <w:p w14:paraId="07D5AB4C" w14:textId="4369DB6F" w:rsidR="00306E39" w:rsidRPr="00306E39" w:rsidRDefault="00306E39" w:rsidP="00306E39">
      <w:pPr>
        <w:pStyle w:val="Heading3"/>
        <w:jc w:val="both"/>
        <w:rPr>
          <w:rFonts w:ascii="StobiSerif Regular" w:hAnsi="StobiSerif Regular"/>
        </w:rPr>
      </w:pPr>
      <w:r w:rsidRPr="00306E39">
        <w:rPr>
          <w:rStyle w:val="Strong"/>
          <w:rFonts w:ascii="StobiSerif Regular" w:hAnsi="StobiSerif Regular"/>
          <w:b/>
          <w:bCs/>
        </w:rPr>
        <w:t>Заклучоци</w:t>
      </w:r>
    </w:p>
    <w:p w14:paraId="2B193124" w14:textId="615C9B73" w:rsidR="00306E39" w:rsidRPr="00306E39" w:rsidRDefault="00306E39" w:rsidP="00306E39">
      <w:pPr>
        <w:pStyle w:val="NormalWeb"/>
        <w:ind w:left="720"/>
        <w:jc w:val="both"/>
        <w:rPr>
          <w:rFonts w:ascii="StobiSerif Regular" w:hAnsi="StobiSerif Regular"/>
        </w:rPr>
      </w:pPr>
      <w:r w:rsidRPr="00306E39">
        <w:rPr>
          <w:rFonts w:ascii="StobiSerif Regular" w:hAnsi="StobiSerif Regular"/>
        </w:rPr>
        <w:t>Анализата за периодот 1 јануари – 30 јуни 2025 година потврдува дека мол</w:t>
      </w:r>
      <w:r w:rsidR="00877693">
        <w:rPr>
          <w:rFonts w:ascii="StobiSerif Regular" w:hAnsi="StobiSerif Regular"/>
        </w:rPr>
        <w:t>чењето</w:t>
      </w:r>
      <w:r w:rsidRPr="00306E39">
        <w:rPr>
          <w:rFonts w:ascii="StobiSerif Regular" w:hAnsi="StobiSerif Regular"/>
        </w:rPr>
        <w:t xml:space="preserve"> на управата останува една од најдлабоките системски слабости во спроведувањето на правото на слободен пристап до информации од јавен карактер. Овој феномен повеќе не може да се третира како изолиран или технички проблем, туку како индикатор на вкоренети институционални дефицити, кои ја поткопуваат транспарентноста, отчетноста и владеењето на правото.</w:t>
      </w:r>
    </w:p>
    <w:p w14:paraId="007F0434" w14:textId="61B95C3C" w:rsidR="00306E39" w:rsidRPr="00306E39" w:rsidRDefault="00306E39" w:rsidP="00306E39">
      <w:pPr>
        <w:pStyle w:val="NormalWeb"/>
        <w:ind w:left="720"/>
        <w:jc w:val="both"/>
        <w:rPr>
          <w:rFonts w:ascii="StobiSerif Regular" w:hAnsi="StobiSerif Regular"/>
        </w:rPr>
      </w:pPr>
      <w:r w:rsidRPr="00306E39">
        <w:rPr>
          <w:rFonts w:ascii="StobiSerif Regular" w:hAnsi="StobiSerif Regular"/>
        </w:rPr>
        <w:t>Присуството на мол</w:t>
      </w:r>
      <w:r w:rsidR="00877693">
        <w:rPr>
          <w:rFonts w:ascii="StobiSerif Regular" w:hAnsi="StobiSerif Regular"/>
        </w:rPr>
        <w:t>чењето</w:t>
      </w:r>
      <w:r w:rsidRPr="00306E39">
        <w:rPr>
          <w:rFonts w:ascii="StobiSerif Regular" w:hAnsi="StobiSerif Regular"/>
        </w:rPr>
        <w:t xml:space="preserve"> во </w:t>
      </w:r>
      <w:r w:rsidR="00973681" w:rsidRPr="00BC286C">
        <w:rPr>
          <w:rFonts w:ascii="StobiSerif Regular" w:hAnsi="StobiSerif Regular"/>
          <w:b/>
          <w:bCs/>
        </w:rPr>
        <w:t>70</w:t>
      </w:r>
      <w:r w:rsidR="00877693">
        <w:rPr>
          <w:rFonts w:ascii="StobiSerif Regular" w:hAnsi="StobiSerif Regular"/>
          <w:b/>
          <w:bCs/>
        </w:rPr>
        <w:t>,27%</w:t>
      </w:r>
      <w:r w:rsidRPr="00973681">
        <w:rPr>
          <w:rFonts w:ascii="StobiSerif Regular" w:hAnsi="StobiSerif Regular"/>
          <w:color w:val="FF0000"/>
        </w:rPr>
        <w:t xml:space="preserve"> </w:t>
      </w:r>
      <w:r w:rsidRPr="00306E39">
        <w:rPr>
          <w:rFonts w:ascii="StobiSerif Regular" w:hAnsi="StobiSerif Regular"/>
        </w:rPr>
        <w:t xml:space="preserve">од жалбите упатува на сериозен структурен проблем во јавната администрација. Тој е особено изразен кај органите на локалната самоуправа и неколку клучни министерства, каде што неангажираноста, </w:t>
      </w:r>
      <w:r w:rsidR="00EA4A0B">
        <w:rPr>
          <w:rFonts w:ascii="StobiSerif Regular" w:hAnsi="StobiSerif Regular"/>
        </w:rPr>
        <w:t xml:space="preserve">како </w:t>
      </w:r>
      <w:r w:rsidRPr="00306E39">
        <w:rPr>
          <w:rFonts w:ascii="StobiSerif Regular" w:hAnsi="StobiSerif Regular"/>
        </w:rPr>
        <w:t xml:space="preserve">и отсуството на интерни процедури создаваат околина во која непостапувањето станува </w:t>
      </w:r>
      <w:r w:rsidR="00FB5195">
        <w:rPr>
          <w:rFonts w:ascii="StobiSerif Regular" w:hAnsi="StobiSerif Regular"/>
        </w:rPr>
        <w:t>пракса</w:t>
      </w:r>
      <w:r w:rsidRPr="00306E39">
        <w:rPr>
          <w:rFonts w:ascii="StobiSerif Regular" w:hAnsi="StobiSerif Regular"/>
        </w:rPr>
        <w:t>, а не исклучок.</w:t>
      </w:r>
    </w:p>
    <w:p w14:paraId="23D0F55E" w14:textId="2B5AAC0F" w:rsidR="00306E39" w:rsidRPr="00306E39" w:rsidRDefault="00EA4A0B" w:rsidP="00306E39">
      <w:pPr>
        <w:pStyle w:val="NormalWeb"/>
        <w:ind w:left="720"/>
        <w:jc w:val="both"/>
        <w:rPr>
          <w:rFonts w:ascii="StobiSerif Regular" w:hAnsi="StobiSerif Regular"/>
        </w:rPr>
      </w:pPr>
      <w:r>
        <w:rPr>
          <w:rFonts w:ascii="StobiSerif Regular" w:hAnsi="StobiSerif Regular"/>
        </w:rPr>
        <w:t>Мол</w:t>
      </w:r>
      <w:r w:rsidR="00877693">
        <w:rPr>
          <w:rFonts w:ascii="StobiSerif Regular" w:hAnsi="StobiSerif Regular"/>
        </w:rPr>
        <w:t>чењето</w:t>
      </w:r>
      <w:r>
        <w:rPr>
          <w:rFonts w:ascii="StobiSerif Regular" w:hAnsi="StobiSerif Regular"/>
        </w:rPr>
        <w:t xml:space="preserve"> на управата, </w:t>
      </w:r>
      <w:r w:rsidRPr="00306E39">
        <w:rPr>
          <w:rFonts w:ascii="StobiSerif Regular" w:hAnsi="StobiSerif Regular"/>
        </w:rPr>
        <w:t>од година во година</w:t>
      </w:r>
      <w:r>
        <w:rPr>
          <w:rFonts w:ascii="StobiSerif Regular" w:hAnsi="StobiSerif Regular"/>
        </w:rPr>
        <w:t>,</w:t>
      </w:r>
      <w:r w:rsidRPr="00306E39">
        <w:rPr>
          <w:rFonts w:ascii="StobiSerif Regular" w:hAnsi="StobiSerif Regular"/>
        </w:rPr>
        <w:t xml:space="preserve"> </w:t>
      </w:r>
      <w:r>
        <w:rPr>
          <w:rFonts w:ascii="StobiSerif Regular" w:hAnsi="StobiSerif Regular"/>
        </w:rPr>
        <w:t>се јавува кај р</w:t>
      </w:r>
      <w:r w:rsidR="00306E39" w:rsidRPr="00306E39">
        <w:rPr>
          <w:rFonts w:ascii="StobiSerif Regular" w:hAnsi="StobiSerif Regular"/>
        </w:rPr>
        <w:t xml:space="preserve">ечиси идентични институции </w:t>
      </w:r>
      <w:r>
        <w:rPr>
          <w:rFonts w:ascii="StobiSerif Regular" w:hAnsi="StobiSerif Regular"/>
        </w:rPr>
        <w:t>што</w:t>
      </w:r>
      <w:r w:rsidR="00306E39" w:rsidRPr="00306E39">
        <w:rPr>
          <w:rFonts w:ascii="StobiSerif Regular" w:hAnsi="StobiSerif Regular"/>
        </w:rPr>
        <w:t xml:space="preserve"> сугерира дека проблемот не произлегува од незнаење, туку од хронична институционална незаинтересираност за прашањата </w:t>
      </w:r>
      <w:r>
        <w:rPr>
          <w:rFonts w:ascii="StobiSerif Regular" w:hAnsi="StobiSerif Regular"/>
        </w:rPr>
        <w:t>н</w:t>
      </w:r>
      <w:r w:rsidR="00306E39" w:rsidRPr="00306E39">
        <w:rPr>
          <w:rFonts w:ascii="StobiSerif Regular" w:hAnsi="StobiSerif Regular"/>
        </w:rPr>
        <w:t>а транспарентност. Ова покажува отпор не само кон Законот, туку и кон самата логика на јавност и отчетност.</w:t>
      </w:r>
    </w:p>
    <w:p w14:paraId="2261CCA7" w14:textId="06195A03" w:rsidR="00306E39" w:rsidRPr="00306E39" w:rsidRDefault="00306E39" w:rsidP="00306E39">
      <w:pPr>
        <w:pStyle w:val="NormalWeb"/>
        <w:ind w:left="720"/>
        <w:jc w:val="both"/>
        <w:rPr>
          <w:rFonts w:ascii="StobiSerif Regular" w:hAnsi="StobiSerif Regular"/>
        </w:rPr>
      </w:pPr>
      <w:r w:rsidRPr="00306E39">
        <w:rPr>
          <w:rFonts w:ascii="StobiSerif Regular" w:hAnsi="StobiSerif Regular"/>
        </w:rPr>
        <w:t>И покрај континуираните напори на Агенцијата преку едукации</w:t>
      </w:r>
      <w:r w:rsidR="00EA4A0B">
        <w:rPr>
          <w:rFonts w:ascii="StobiSerif Regular" w:hAnsi="StobiSerif Regular"/>
        </w:rPr>
        <w:t>, прирачници</w:t>
      </w:r>
      <w:r w:rsidRPr="00306E39">
        <w:rPr>
          <w:rFonts w:ascii="StobiSerif Regular" w:hAnsi="StobiSerif Regular"/>
        </w:rPr>
        <w:t xml:space="preserve"> и упатства, анализата укажува дека ефектите остануваат ограничени. Главната пречка лежи во недостатокот на политичка волја и административна дисциплина кај раководните структури на институциите, кои честопати го игнорираат ова право или го сведуваат на техничка формалност.</w:t>
      </w:r>
    </w:p>
    <w:p w14:paraId="1CF4D5CF" w14:textId="7CA30C87" w:rsidR="00306E39" w:rsidRPr="00306E39" w:rsidRDefault="00306E39" w:rsidP="00306E39">
      <w:pPr>
        <w:pStyle w:val="NormalWeb"/>
        <w:ind w:left="720"/>
        <w:jc w:val="both"/>
        <w:rPr>
          <w:rFonts w:ascii="StobiSerif Regular" w:hAnsi="StobiSerif Regular"/>
        </w:rPr>
      </w:pPr>
      <w:r w:rsidRPr="00306E39">
        <w:rPr>
          <w:rFonts w:ascii="StobiSerif Regular" w:hAnsi="StobiSerif Regular"/>
        </w:rPr>
        <w:lastRenderedPageBreak/>
        <w:t>Проактивната транспарентност, како стратешки пристап за намалување на бројот на барања и спречување на мол</w:t>
      </w:r>
      <w:r w:rsidR="00877693">
        <w:rPr>
          <w:rFonts w:ascii="StobiSerif Regular" w:hAnsi="StobiSerif Regular"/>
        </w:rPr>
        <w:t xml:space="preserve">чењето </w:t>
      </w:r>
      <w:r w:rsidR="00EA4A0B">
        <w:rPr>
          <w:rFonts w:ascii="StobiSerif Regular" w:hAnsi="StobiSerif Regular"/>
        </w:rPr>
        <w:t>на управата</w:t>
      </w:r>
      <w:r w:rsidRPr="00306E39">
        <w:rPr>
          <w:rFonts w:ascii="StobiSerif Regular" w:hAnsi="StobiSerif Regular"/>
        </w:rPr>
        <w:t>, е сè уште слабо разбрана и ретко имплементирана. Веб-страниците на институциите најчесто не нудат ни основни, актуелни информации, што ја нарушува јавната доверба и ги стимулира барателите да се обраќаат директно – без ефективен резултат.</w:t>
      </w:r>
    </w:p>
    <w:p w14:paraId="77BB2BB1" w14:textId="1E4199BE" w:rsidR="00306E39" w:rsidRPr="00306E39" w:rsidRDefault="00306E39" w:rsidP="00306E39">
      <w:pPr>
        <w:pStyle w:val="NormalWeb"/>
        <w:ind w:left="720"/>
        <w:jc w:val="both"/>
        <w:rPr>
          <w:rFonts w:ascii="StobiSerif Regular" w:hAnsi="StobiSerif Regular"/>
        </w:rPr>
      </w:pPr>
      <w:r w:rsidRPr="00306E39">
        <w:rPr>
          <w:rFonts w:ascii="StobiSerif Regular" w:hAnsi="StobiSerif Regular"/>
        </w:rPr>
        <w:t xml:space="preserve">Во исто време, растечкиот број на барања за информации, особено кај граѓанските организации и медиумите, </w:t>
      </w:r>
      <w:r w:rsidR="00EA4A0B">
        <w:rPr>
          <w:rFonts w:ascii="StobiSerif Regular" w:hAnsi="StobiSerif Regular"/>
        </w:rPr>
        <w:t xml:space="preserve">но и од граѓаните, </w:t>
      </w:r>
      <w:r w:rsidRPr="00306E39">
        <w:rPr>
          <w:rFonts w:ascii="StobiSerif Regular" w:hAnsi="StobiSerif Regular"/>
        </w:rPr>
        <w:t>сведочи за зголемена свест и зголемено очекување од јавноста. Тоа е позитивен тренд, но и предизвик за институциите – кои во моментов немаат капацитет или волја да одговорат соодветно и навремено.</w:t>
      </w:r>
    </w:p>
    <w:p w14:paraId="68E67732" w14:textId="711F10A6" w:rsidR="00306E39" w:rsidRDefault="00306E39" w:rsidP="006C5632">
      <w:pPr>
        <w:pStyle w:val="NormalWeb"/>
        <w:ind w:left="720"/>
        <w:jc w:val="both"/>
        <w:rPr>
          <w:rFonts w:ascii="StobiSerif Regular" w:hAnsi="StobiSerif Regular"/>
        </w:rPr>
      </w:pPr>
      <w:r w:rsidRPr="00306E39">
        <w:rPr>
          <w:rFonts w:ascii="StobiSerif Regular" w:hAnsi="StobiSerif Regular"/>
        </w:rPr>
        <w:t>Во целост, може да се заклучи дека мол</w:t>
      </w:r>
      <w:r w:rsidR="00877693">
        <w:rPr>
          <w:rFonts w:ascii="StobiSerif Regular" w:hAnsi="StobiSerif Regular"/>
        </w:rPr>
        <w:t>чењето</w:t>
      </w:r>
      <w:r w:rsidRPr="00306E39">
        <w:rPr>
          <w:rFonts w:ascii="StobiSerif Regular" w:hAnsi="StobiSerif Regular"/>
        </w:rPr>
        <w:t xml:space="preserve"> на управата не е само административна бариера – тој е симптом на длабоко вкоренета култура на затвореност, која мора да се адресира преку јасни институционални интервенции, одговорност и активна поддршка на културата на отвореност. Без суштински промени во пристапот на институциите, секое подобрување ќе биде привремено и декларативно.</w:t>
      </w:r>
    </w:p>
    <w:p w14:paraId="578A0999" w14:textId="77777777" w:rsidR="004A2F0B" w:rsidRPr="00373204" w:rsidRDefault="004A2F0B" w:rsidP="006C5632">
      <w:pPr>
        <w:pStyle w:val="NormalWeb"/>
        <w:ind w:left="720"/>
        <w:jc w:val="both"/>
        <w:rPr>
          <w:rFonts w:ascii="StobiSerif Regular" w:hAnsi="StobiSerif Regular"/>
          <w:sz w:val="2"/>
          <w:szCs w:val="2"/>
        </w:rPr>
      </w:pPr>
    </w:p>
    <w:p w14:paraId="2F8C79FA" w14:textId="5F05BF6E" w:rsidR="00306E39" w:rsidRDefault="00306E39" w:rsidP="00306E39">
      <w:pPr>
        <w:spacing w:before="100" w:beforeAutospacing="1" w:after="100" w:afterAutospacing="1" w:line="240" w:lineRule="auto"/>
        <w:jc w:val="both"/>
        <w:outlineLvl w:val="2"/>
        <w:rPr>
          <w:rFonts w:eastAsia="Times New Roman" w:cs="Times New Roman"/>
          <w:b/>
          <w:bCs/>
          <w:sz w:val="27"/>
          <w:szCs w:val="27"/>
          <w:lang w:val="mk-MK" w:eastAsia="mk-MK"/>
        </w:rPr>
      </w:pPr>
      <w:r w:rsidRPr="00306E39">
        <w:rPr>
          <w:rFonts w:eastAsia="Times New Roman" w:cs="Times New Roman"/>
          <w:b/>
          <w:bCs/>
          <w:sz w:val="27"/>
          <w:szCs w:val="27"/>
          <w:lang w:val="mk-MK" w:eastAsia="mk-MK"/>
        </w:rPr>
        <w:t>Препораки до институциите – иматели на информации од јавен карактер</w:t>
      </w:r>
    </w:p>
    <w:p w14:paraId="7A8DC8D5" w14:textId="77777777" w:rsidR="00EA4A0B" w:rsidRPr="004A2F0B" w:rsidRDefault="00EA4A0B" w:rsidP="00306E39">
      <w:pPr>
        <w:spacing w:before="100" w:beforeAutospacing="1" w:after="100" w:afterAutospacing="1" w:line="240" w:lineRule="auto"/>
        <w:jc w:val="both"/>
        <w:outlineLvl w:val="2"/>
        <w:rPr>
          <w:rFonts w:eastAsia="Times New Roman" w:cs="Times New Roman"/>
          <w:b/>
          <w:bCs/>
          <w:sz w:val="2"/>
          <w:szCs w:val="2"/>
          <w:lang w:val="mk-MK" w:eastAsia="mk-MK"/>
        </w:rPr>
      </w:pPr>
    </w:p>
    <w:p w14:paraId="267E0D69" w14:textId="77777777" w:rsidR="00306E39" w:rsidRDefault="00306E39" w:rsidP="00EA4A0B">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b/>
          <w:bCs/>
          <w:lang w:val="mk-MK" w:eastAsia="mk-MK"/>
        </w:rPr>
        <w:t>Воспоставување функционална внатрешна организација за постапување по барања</w:t>
      </w:r>
    </w:p>
    <w:p w14:paraId="3B302AD6" w14:textId="345E7367" w:rsidR="00306E39" w:rsidRPr="00306E39" w:rsidRDefault="00306E39" w:rsidP="00306E39">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lang w:val="mk-MK" w:eastAsia="mk-MK"/>
        </w:rPr>
        <w:t>Секоја институција треба да назначи одговорно лице/одделение со јасни надлежности и да воспостави стандардизирана процедура за евиденција, обработка и навремено одговарање на барањата. Внатрешниот надзор (преку месечни или квартални проверки) треба да биде задолжителен, со јасна отчетност до раководството.</w:t>
      </w:r>
    </w:p>
    <w:p w14:paraId="2D9A52DA" w14:textId="77777777" w:rsidR="00306E39" w:rsidRPr="00306E39" w:rsidRDefault="00306E39" w:rsidP="00EA4A0B">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b/>
          <w:bCs/>
          <w:lang w:val="mk-MK" w:eastAsia="mk-MK"/>
        </w:rPr>
        <w:t>Редовна и обврзувачка едукација на службениците</w:t>
      </w:r>
    </w:p>
    <w:p w14:paraId="6C5A9CB9" w14:textId="6B1DC040" w:rsidR="00306E39" w:rsidRPr="00306E39" w:rsidRDefault="00306E39" w:rsidP="00306E39">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lang w:val="mk-MK" w:eastAsia="mk-MK"/>
        </w:rPr>
        <w:t xml:space="preserve">Институциите мора да обезбедат </w:t>
      </w:r>
      <w:r w:rsidR="00877693">
        <w:rPr>
          <w:rFonts w:eastAsia="Times New Roman" w:cs="Times New Roman"/>
          <w:lang w:val="mk-MK" w:eastAsia="mk-MK"/>
        </w:rPr>
        <w:t xml:space="preserve">присуство на </w:t>
      </w:r>
      <w:r w:rsidRPr="00306E39">
        <w:rPr>
          <w:rFonts w:eastAsia="Times New Roman" w:cs="Times New Roman"/>
          <w:lang w:val="mk-MK" w:eastAsia="mk-MK"/>
        </w:rPr>
        <w:t>обук</w:t>
      </w:r>
      <w:r w:rsidR="00877693">
        <w:rPr>
          <w:rFonts w:eastAsia="Times New Roman" w:cs="Times New Roman"/>
          <w:lang w:val="mk-MK" w:eastAsia="mk-MK"/>
        </w:rPr>
        <w:t>ите на Агенцијата</w:t>
      </w:r>
      <w:r w:rsidRPr="00306E39">
        <w:rPr>
          <w:rFonts w:eastAsia="Times New Roman" w:cs="Times New Roman"/>
          <w:lang w:val="mk-MK" w:eastAsia="mk-MK"/>
        </w:rPr>
        <w:t xml:space="preserve"> за сите лица кои постапуваат по барања за информации. Овие обуки да бидат дел од годишните планови за стручно усовршување и да вклучуваат тестирање и проверка </w:t>
      </w:r>
      <w:r w:rsidR="00EA4A0B">
        <w:rPr>
          <w:rFonts w:eastAsia="Times New Roman" w:cs="Times New Roman"/>
          <w:lang w:val="mk-MK" w:eastAsia="mk-MK"/>
        </w:rPr>
        <w:t>з</w:t>
      </w:r>
      <w:r w:rsidRPr="00306E39">
        <w:rPr>
          <w:rFonts w:eastAsia="Times New Roman" w:cs="Times New Roman"/>
          <w:lang w:val="mk-MK" w:eastAsia="mk-MK"/>
        </w:rPr>
        <w:t>а обврските од Законот</w:t>
      </w:r>
      <w:r w:rsidR="00EA4A0B">
        <w:rPr>
          <w:rFonts w:eastAsia="Times New Roman" w:cs="Times New Roman"/>
          <w:lang w:val="mk-MK" w:eastAsia="mk-MK"/>
        </w:rPr>
        <w:t xml:space="preserve"> за СПИЈК</w:t>
      </w:r>
      <w:r w:rsidRPr="00306E39">
        <w:rPr>
          <w:rFonts w:eastAsia="Times New Roman" w:cs="Times New Roman"/>
          <w:lang w:val="mk-MK" w:eastAsia="mk-MK"/>
        </w:rPr>
        <w:t>.</w:t>
      </w:r>
    </w:p>
    <w:p w14:paraId="6C1AEA63" w14:textId="5F9EC150" w:rsidR="00306E39" w:rsidRDefault="00306E39" w:rsidP="00EA4A0B">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b/>
          <w:bCs/>
          <w:lang w:val="mk-MK" w:eastAsia="mk-MK"/>
        </w:rPr>
        <w:lastRenderedPageBreak/>
        <w:t>Развивање и спроведување план за проактивна транспарентност</w:t>
      </w:r>
    </w:p>
    <w:p w14:paraId="5B1BABE7" w14:textId="08B3C437" w:rsidR="008945F0" w:rsidRPr="00043B22" w:rsidRDefault="00306E39" w:rsidP="007F3239">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lang w:val="mk-MK" w:eastAsia="mk-MK"/>
        </w:rPr>
        <w:t xml:space="preserve">Веб-страниците на институциите мора редовно да се ажурираат со најчесто барани информации, документи и податоци од јавен интерес. Членот 10 од Законот треба доследно да се почитува. Институциите треба да именуваат лице одговорно за </w:t>
      </w:r>
      <w:r w:rsidR="00EA4A0B">
        <w:rPr>
          <w:rFonts w:eastAsia="Times New Roman" w:cs="Times New Roman"/>
          <w:lang w:val="mk-MK" w:eastAsia="mk-MK"/>
        </w:rPr>
        <w:t>ажурирањето</w:t>
      </w:r>
      <w:r w:rsidRPr="00306E39">
        <w:rPr>
          <w:rFonts w:eastAsia="Times New Roman" w:cs="Times New Roman"/>
          <w:lang w:val="mk-MK" w:eastAsia="mk-MK"/>
        </w:rPr>
        <w:t xml:space="preserve"> и отчетноста во однос на објавените информации</w:t>
      </w:r>
      <w:r w:rsidR="00EA4A0B">
        <w:rPr>
          <w:rFonts w:eastAsia="Times New Roman" w:cs="Times New Roman"/>
          <w:lang w:val="mk-MK" w:eastAsia="mk-MK"/>
        </w:rPr>
        <w:t xml:space="preserve"> на веб-страниците</w:t>
      </w:r>
      <w:r w:rsidRPr="00306E39">
        <w:rPr>
          <w:rFonts w:eastAsia="Times New Roman" w:cs="Times New Roman"/>
          <w:lang w:val="mk-MK" w:eastAsia="mk-MK"/>
        </w:rPr>
        <w:t>.</w:t>
      </w:r>
    </w:p>
    <w:p w14:paraId="5DD41FBD" w14:textId="23B73640" w:rsidR="00306E39" w:rsidRPr="00306E39" w:rsidRDefault="00306E39" w:rsidP="00EA4A0B">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b/>
          <w:bCs/>
          <w:lang w:val="mk-MK" w:eastAsia="mk-MK"/>
        </w:rPr>
        <w:t>Објавување на анонимизирани барања и одговори</w:t>
      </w:r>
    </w:p>
    <w:p w14:paraId="6E1D774F" w14:textId="2DD28109" w:rsidR="00306E39" w:rsidRPr="00306E39" w:rsidRDefault="00306E39" w:rsidP="00306E39">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lang w:val="mk-MK" w:eastAsia="mk-MK"/>
        </w:rPr>
        <w:t>Секоја институција треба да воспостави рубрика за објавување на сите примени барања и дадени одговори, во анонимизирана форма. Оваа пракса ќе го намали бројот на повторени барања и ќе ја подобри јавната информираност.</w:t>
      </w:r>
    </w:p>
    <w:p w14:paraId="293C62CA" w14:textId="77777777" w:rsidR="00306E39" w:rsidRPr="00306E39" w:rsidRDefault="00306E39" w:rsidP="00EA4A0B">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b/>
          <w:bCs/>
          <w:lang w:val="mk-MK" w:eastAsia="mk-MK"/>
        </w:rPr>
        <w:t>Следење и отчет за непостапување по барања</w:t>
      </w:r>
    </w:p>
    <w:p w14:paraId="628E5078" w14:textId="51DD6681" w:rsidR="00043B22" w:rsidRPr="00306E39" w:rsidRDefault="00306E39" w:rsidP="006C5632">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lang w:val="mk-MK" w:eastAsia="mk-MK"/>
        </w:rPr>
        <w:t>Секое непостапување (мо</w:t>
      </w:r>
      <w:r w:rsidR="00587C58">
        <w:rPr>
          <w:rFonts w:eastAsia="Times New Roman" w:cs="Times New Roman"/>
          <w:lang w:val="mk-MK" w:eastAsia="mk-MK"/>
        </w:rPr>
        <w:t>лчење</w:t>
      </w:r>
      <w:r w:rsidR="00EA4A0B">
        <w:rPr>
          <w:rFonts w:eastAsia="Times New Roman" w:cs="Times New Roman"/>
          <w:lang w:val="mk-MK" w:eastAsia="mk-MK"/>
        </w:rPr>
        <w:t xml:space="preserve"> на управата</w:t>
      </w:r>
      <w:r w:rsidRPr="00306E39">
        <w:rPr>
          <w:rFonts w:eastAsia="Times New Roman" w:cs="Times New Roman"/>
          <w:lang w:val="mk-MK" w:eastAsia="mk-MK"/>
        </w:rPr>
        <w:t>) треба да биде евидентирано интерно, со назначување на причините. Раководството на институцијата треба квартално да разгледува извештаи за вакви случаи</w:t>
      </w:r>
      <w:r w:rsidR="00EA4A0B">
        <w:rPr>
          <w:rFonts w:eastAsia="Times New Roman" w:cs="Times New Roman"/>
          <w:lang w:val="mk-MK" w:eastAsia="mk-MK"/>
        </w:rPr>
        <w:t>, кои не треба да бидат пракса.</w:t>
      </w:r>
    </w:p>
    <w:p w14:paraId="37CEC081" w14:textId="77777777" w:rsidR="00306E39" w:rsidRPr="00306E39" w:rsidRDefault="00306E39" w:rsidP="00EA4A0B">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b/>
          <w:bCs/>
          <w:lang w:val="mk-MK" w:eastAsia="mk-MK"/>
        </w:rPr>
        <w:t>Употреба на дигитални алатки за анализа на барања</w:t>
      </w:r>
    </w:p>
    <w:p w14:paraId="1F1114F6" w14:textId="372016FE" w:rsidR="00306E39" w:rsidRPr="00306E39" w:rsidRDefault="00306E39" w:rsidP="00306E39">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lang w:val="mk-MK" w:eastAsia="mk-MK"/>
        </w:rPr>
        <w:t xml:space="preserve">Препорачливо е институциите да воведат </w:t>
      </w:r>
      <w:r w:rsidR="00743A5B">
        <w:rPr>
          <w:rFonts w:eastAsia="Times New Roman" w:cs="Times New Roman"/>
          <w:lang w:val="mk-MK" w:eastAsia="mk-MK"/>
        </w:rPr>
        <w:t>дигиталн</w:t>
      </w:r>
      <w:r w:rsidRPr="00306E39">
        <w:rPr>
          <w:rFonts w:eastAsia="Times New Roman" w:cs="Times New Roman"/>
          <w:lang w:val="mk-MK" w:eastAsia="mk-MK"/>
        </w:rPr>
        <w:t>и бази на податоци кои ќе овозможат автоматско следење на роковите и класификација на барањата. На тој начин ќе се олесни идентификацијата на најчест</w:t>
      </w:r>
      <w:r w:rsidR="00EA4A0B">
        <w:rPr>
          <w:rFonts w:eastAsia="Times New Roman" w:cs="Times New Roman"/>
          <w:lang w:val="mk-MK" w:eastAsia="mk-MK"/>
        </w:rPr>
        <w:t>о бараните информации</w:t>
      </w:r>
      <w:r w:rsidRPr="00306E39">
        <w:rPr>
          <w:rFonts w:eastAsia="Times New Roman" w:cs="Times New Roman"/>
          <w:lang w:val="mk-MK" w:eastAsia="mk-MK"/>
        </w:rPr>
        <w:t>, кои потоа можат проактивно да се објавуваат.</w:t>
      </w:r>
    </w:p>
    <w:p w14:paraId="6C72A64B" w14:textId="77777777" w:rsidR="00306E39" w:rsidRPr="00306E39" w:rsidRDefault="00306E39" w:rsidP="00EA4A0B">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b/>
          <w:bCs/>
          <w:lang w:val="mk-MK" w:eastAsia="mk-MK"/>
        </w:rPr>
        <w:t>Меѓуинституционална размена на добри практики</w:t>
      </w:r>
    </w:p>
    <w:p w14:paraId="17F72585" w14:textId="645B00D0" w:rsidR="000A344F" w:rsidRPr="000A344F" w:rsidRDefault="00306E39" w:rsidP="00306E39">
      <w:pPr>
        <w:spacing w:before="100" w:beforeAutospacing="1" w:after="100" w:afterAutospacing="1" w:line="240" w:lineRule="auto"/>
        <w:ind w:left="720"/>
        <w:jc w:val="both"/>
        <w:rPr>
          <w:rFonts w:eastAsia="Times New Roman" w:cs="Times New Roman"/>
          <w:lang w:val="mk-MK" w:eastAsia="mk-MK"/>
        </w:rPr>
      </w:pPr>
      <w:r w:rsidRPr="00306E39">
        <w:rPr>
          <w:rFonts w:eastAsia="Times New Roman" w:cs="Times New Roman"/>
          <w:lang w:val="mk-MK" w:eastAsia="mk-MK"/>
        </w:rPr>
        <w:t>Општините, министерствата и другите иматели треба да воспостават комуникација и размена на искуства во соработка со Агенцијата и граѓанските организации.</w:t>
      </w:r>
    </w:p>
    <w:p w14:paraId="62D3BC8C" w14:textId="505E486C" w:rsidR="00306E39" w:rsidRPr="00306E39" w:rsidRDefault="00306E39" w:rsidP="00306E39">
      <w:pPr>
        <w:pStyle w:val="NormalWeb"/>
        <w:jc w:val="both"/>
        <w:rPr>
          <w:rFonts w:ascii="StobiSerif Regular" w:hAnsi="StobiSerif Regular"/>
        </w:rPr>
      </w:pPr>
      <w:r w:rsidRPr="00306E39">
        <w:rPr>
          <w:rFonts w:ascii="StobiSerif Regular" w:hAnsi="StobiSerif Regular"/>
        </w:rPr>
        <w:t>Мол</w:t>
      </w:r>
      <w:r w:rsidR="00587C58">
        <w:rPr>
          <w:rFonts w:ascii="StobiSerif Regular" w:hAnsi="StobiSerif Regular"/>
        </w:rPr>
        <w:t>чењето</w:t>
      </w:r>
      <w:r w:rsidRPr="00306E39">
        <w:rPr>
          <w:rFonts w:ascii="StobiSerif Regular" w:hAnsi="StobiSerif Regular"/>
        </w:rPr>
        <w:t xml:space="preserve"> на управата не смее да биде прифатен како нормал</w:t>
      </w:r>
      <w:r w:rsidR="00EA4A0B">
        <w:rPr>
          <w:rFonts w:ascii="StobiSerif Regular" w:hAnsi="StobiSerif Regular"/>
        </w:rPr>
        <w:t>на</w:t>
      </w:r>
      <w:r w:rsidRPr="00306E39">
        <w:rPr>
          <w:rFonts w:ascii="StobiSerif Regular" w:hAnsi="StobiSerif Regular"/>
        </w:rPr>
        <w:t xml:space="preserve"> административна прак</w:t>
      </w:r>
      <w:r w:rsidR="00EA4A0B">
        <w:rPr>
          <w:rFonts w:ascii="StobiSerif Regular" w:hAnsi="StobiSerif Regular"/>
        </w:rPr>
        <w:t>са</w:t>
      </w:r>
      <w:r w:rsidRPr="00306E39">
        <w:rPr>
          <w:rFonts w:ascii="StobiSerif Regular" w:hAnsi="StobiSerif Regular"/>
        </w:rPr>
        <w:t>, бидејќи претставува директна девијација од основните принципи на добро управување. Тој е повеќе од пасивност – тој е сигнал за институционална недисциплина, игнорирање на законските обврски и системски отпор кон јавната отчетност. Кога мол</w:t>
      </w:r>
      <w:r w:rsidR="00587C58">
        <w:rPr>
          <w:rFonts w:ascii="StobiSerif Regular" w:hAnsi="StobiSerif Regular"/>
        </w:rPr>
        <w:t>чењето</w:t>
      </w:r>
      <w:r w:rsidRPr="00306E39">
        <w:rPr>
          <w:rFonts w:ascii="StobiSerif Regular" w:hAnsi="StobiSerif Regular"/>
        </w:rPr>
        <w:t xml:space="preserve"> станува правило, а не исклучок, тоа значи дека јавните институции ја негираат својата примарна функција – да служат на граѓаните преку отворено, достапно и транспарентно работење.</w:t>
      </w:r>
    </w:p>
    <w:p w14:paraId="6FF53E98" w14:textId="6073B9E2" w:rsidR="00306E39" w:rsidRPr="00306E39" w:rsidRDefault="00306E39" w:rsidP="00306E39">
      <w:pPr>
        <w:pStyle w:val="NormalWeb"/>
        <w:jc w:val="both"/>
        <w:rPr>
          <w:rFonts w:ascii="StobiSerif Regular" w:hAnsi="StobiSerif Regular"/>
        </w:rPr>
      </w:pPr>
      <w:r w:rsidRPr="00306E39">
        <w:rPr>
          <w:rFonts w:ascii="StobiSerif Regular" w:hAnsi="StobiSerif Regular"/>
        </w:rPr>
        <w:lastRenderedPageBreak/>
        <w:t>Правото на пристап до информации не е технички механизам, туку темелен демократски инструмент кој овозможува информирано учество, спречување на злоупотреби и зајакнување на јавната доверба. Секое негово непочитување – преку мол</w:t>
      </w:r>
      <w:r w:rsidR="00587C58">
        <w:rPr>
          <w:rFonts w:ascii="StobiSerif Regular" w:hAnsi="StobiSerif Regular"/>
        </w:rPr>
        <w:t>чењето</w:t>
      </w:r>
      <w:r w:rsidR="00EA4A0B">
        <w:rPr>
          <w:rFonts w:ascii="StobiSerif Regular" w:hAnsi="StobiSerif Regular"/>
        </w:rPr>
        <w:t xml:space="preserve"> на управата</w:t>
      </w:r>
      <w:r w:rsidRPr="00306E39">
        <w:rPr>
          <w:rFonts w:ascii="StobiSerif Regular" w:hAnsi="StobiSerif Regular"/>
        </w:rPr>
        <w:t xml:space="preserve"> – претставува чин на институционално исклучување на јавноста од процесите на одлучување.</w:t>
      </w:r>
    </w:p>
    <w:p w14:paraId="2E6F3119" w14:textId="737B3410" w:rsidR="00306E39" w:rsidRDefault="00306E39" w:rsidP="00306E39">
      <w:pPr>
        <w:pStyle w:val="NormalWeb"/>
        <w:jc w:val="both"/>
        <w:rPr>
          <w:rFonts w:ascii="StobiSerif Regular" w:hAnsi="StobiSerif Regular"/>
        </w:rPr>
      </w:pPr>
      <w:r w:rsidRPr="00306E39">
        <w:rPr>
          <w:rFonts w:ascii="StobiSerif Regular" w:hAnsi="StobiSerif Regular"/>
        </w:rPr>
        <w:t>Затоа, мол</w:t>
      </w:r>
      <w:r w:rsidR="00587C58">
        <w:rPr>
          <w:rFonts w:ascii="StobiSerif Regular" w:hAnsi="StobiSerif Regular"/>
        </w:rPr>
        <w:t>чењето</w:t>
      </w:r>
      <w:r w:rsidRPr="00306E39">
        <w:rPr>
          <w:rFonts w:ascii="StobiSerif Regular" w:hAnsi="StobiSerif Regular"/>
        </w:rPr>
        <w:t xml:space="preserve"> мора да биде идентификуван, документиран и санкциониран како сериозна повреда на јавниот интерес. Само преку проактивна и отчетна администрација може да се изгради институционална култура во која информацијата е не само достапна, туку и признаена како основна вредност на демократското уредување.</w:t>
      </w:r>
    </w:p>
    <w:p w14:paraId="588951F5" w14:textId="2719FF7E" w:rsidR="007F3239" w:rsidRDefault="007F3239" w:rsidP="00306E39">
      <w:pPr>
        <w:pStyle w:val="NormalWeb"/>
        <w:jc w:val="both"/>
        <w:rPr>
          <w:rFonts w:ascii="StobiSerif Regular" w:hAnsi="StobiSerif Regular"/>
        </w:rPr>
      </w:pPr>
    </w:p>
    <w:p w14:paraId="2B6B564C" w14:textId="1B3354D4" w:rsidR="007F3239" w:rsidRPr="007F3239" w:rsidRDefault="007F3239" w:rsidP="00306E39">
      <w:pPr>
        <w:pStyle w:val="NormalWeb"/>
        <w:jc w:val="both"/>
        <w:rPr>
          <w:rFonts w:ascii="StobiSerif Regular" w:hAnsi="StobiSerif Regular"/>
          <w:b/>
          <w:bCs/>
        </w:rPr>
      </w:pPr>
      <w:r w:rsidRPr="007F3239">
        <w:rPr>
          <w:rFonts w:ascii="StobiSerif Regular" w:hAnsi="StobiSerif Regular"/>
          <w:b/>
          <w:bCs/>
        </w:rPr>
        <w:t>Подготвил:</w:t>
      </w:r>
    </w:p>
    <w:p w14:paraId="1B4A0722" w14:textId="79B3BBAE" w:rsidR="007F3239" w:rsidRPr="007F3239" w:rsidRDefault="007F3239" w:rsidP="00306E39">
      <w:pPr>
        <w:pStyle w:val="NormalWeb"/>
        <w:jc w:val="both"/>
        <w:rPr>
          <w:rFonts w:ascii="StobiSerif Regular" w:hAnsi="StobiSerif Regular"/>
          <w:b/>
          <w:bCs/>
        </w:rPr>
      </w:pPr>
      <w:r w:rsidRPr="007F3239">
        <w:rPr>
          <w:rFonts w:ascii="StobiSerif Regular" w:hAnsi="StobiSerif Regular"/>
          <w:b/>
          <w:bCs/>
        </w:rPr>
        <w:t>Оливер Серафимовски</w:t>
      </w:r>
    </w:p>
    <w:p w14:paraId="6BBD80C1" w14:textId="77777777" w:rsidR="007C2042" w:rsidRPr="00306E39" w:rsidRDefault="007C2042" w:rsidP="00306E39">
      <w:pPr>
        <w:jc w:val="both"/>
      </w:pPr>
    </w:p>
    <w:sectPr w:rsidR="007C2042" w:rsidRPr="00306E39" w:rsidSect="000D738B">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116E" w14:textId="77777777" w:rsidR="00214611" w:rsidRDefault="00214611" w:rsidP="000D738B">
      <w:pPr>
        <w:spacing w:after="0" w:line="240" w:lineRule="auto"/>
      </w:pPr>
      <w:r>
        <w:separator/>
      </w:r>
    </w:p>
  </w:endnote>
  <w:endnote w:type="continuationSeparator" w:id="0">
    <w:p w14:paraId="0447C10B" w14:textId="77777777" w:rsidR="00214611" w:rsidRDefault="00214611" w:rsidP="000D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306978"/>
      <w:docPartObj>
        <w:docPartGallery w:val="Page Numbers (Bottom of Page)"/>
        <w:docPartUnique/>
      </w:docPartObj>
    </w:sdtPr>
    <w:sdtEndPr>
      <w:rPr>
        <w:noProof/>
      </w:rPr>
    </w:sdtEndPr>
    <w:sdtContent>
      <w:p w14:paraId="21A0B492" w14:textId="37CE105C" w:rsidR="000D738B" w:rsidRDefault="000D7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20ACCF" w14:textId="77777777" w:rsidR="000D738B" w:rsidRDefault="000D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74B70" w14:textId="77777777" w:rsidR="00214611" w:rsidRDefault="00214611" w:rsidP="000D738B">
      <w:pPr>
        <w:spacing w:after="0" w:line="240" w:lineRule="auto"/>
      </w:pPr>
      <w:r>
        <w:separator/>
      </w:r>
    </w:p>
  </w:footnote>
  <w:footnote w:type="continuationSeparator" w:id="0">
    <w:p w14:paraId="411378CA" w14:textId="77777777" w:rsidR="00214611" w:rsidRDefault="00214611" w:rsidP="000D7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53DD"/>
    <w:multiLevelType w:val="multilevel"/>
    <w:tmpl w:val="384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92477"/>
    <w:multiLevelType w:val="multilevel"/>
    <w:tmpl w:val="40FE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86308"/>
    <w:multiLevelType w:val="hybridMultilevel"/>
    <w:tmpl w:val="CF56B966"/>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3A841318"/>
    <w:multiLevelType w:val="multilevel"/>
    <w:tmpl w:val="65FA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A5B8C"/>
    <w:multiLevelType w:val="multilevel"/>
    <w:tmpl w:val="BE60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06FEF"/>
    <w:multiLevelType w:val="hybridMultilevel"/>
    <w:tmpl w:val="E474B91E"/>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5DF65FF8"/>
    <w:multiLevelType w:val="hybridMultilevel"/>
    <w:tmpl w:val="0DC23D7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619B48F4"/>
    <w:multiLevelType w:val="hybridMultilevel"/>
    <w:tmpl w:val="F1ACF448"/>
    <w:lvl w:ilvl="0" w:tplc="970E9768">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319EA"/>
    <w:multiLevelType w:val="multilevel"/>
    <w:tmpl w:val="AB7C4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FE201B"/>
    <w:multiLevelType w:val="multilevel"/>
    <w:tmpl w:val="EB72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955334">
    <w:abstractNumId w:val="0"/>
  </w:num>
  <w:num w:numId="2" w16cid:durableId="80954182">
    <w:abstractNumId w:val="1"/>
  </w:num>
  <w:num w:numId="3" w16cid:durableId="1847136774">
    <w:abstractNumId w:val="4"/>
  </w:num>
  <w:num w:numId="4" w16cid:durableId="798500831">
    <w:abstractNumId w:val="9"/>
  </w:num>
  <w:num w:numId="5" w16cid:durableId="1030840954">
    <w:abstractNumId w:val="8"/>
  </w:num>
  <w:num w:numId="6" w16cid:durableId="342559118">
    <w:abstractNumId w:val="2"/>
  </w:num>
  <w:num w:numId="7" w16cid:durableId="2045715073">
    <w:abstractNumId w:val="3"/>
  </w:num>
  <w:num w:numId="8" w16cid:durableId="2129547140">
    <w:abstractNumId w:val="7"/>
  </w:num>
  <w:num w:numId="9" w16cid:durableId="67651143">
    <w:abstractNumId w:val="5"/>
  </w:num>
  <w:num w:numId="10" w16cid:durableId="91975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4F"/>
    <w:rsid w:val="00025480"/>
    <w:rsid w:val="00043B22"/>
    <w:rsid w:val="0006053B"/>
    <w:rsid w:val="000A344F"/>
    <w:rsid w:val="000A4BB8"/>
    <w:rsid w:val="000D738B"/>
    <w:rsid w:val="000F3DC7"/>
    <w:rsid w:val="0011268A"/>
    <w:rsid w:val="0012480D"/>
    <w:rsid w:val="00143250"/>
    <w:rsid w:val="00160D14"/>
    <w:rsid w:val="00180887"/>
    <w:rsid w:val="001814FB"/>
    <w:rsid w:val="001875CE"/>
    <w:rsid w:val="001B5664"/>
    <w:rsid w:val="001E6F98"/>
    <w:rsid w:val="001E7998"/>
    <w:rsid w:val="001F7F66"/>
    <w:rsid w:val="002105A6"/>
    <w:rsid w:val="00214611"/>
    <w:rsid w:val="002C5E2A"/>
    <w:rsid w:val="00306E39"/>
    <w:rsid w:val="00322FB7"/>
    <w:rsid w:val="0034154C"/>
    <w:rsid w:val="00361AC0"/>
    <w:rsid w:val="00373204"/>
    <w:rsid w:val="00381265"/>
    <w:rsid w:val="003C2B64"/>
    <w:rsid w:val="004167C3"/>
    <w:rsid w:val="00436A2F"/>
    <w:rsid w:val="00441D0D"/>
    <w:rsid w:val="00446C74"/>
    <w:rsid w:val="00470CD1"/>
    <w:rsid w:val="004838CF"/>
    <w:rsid w:val="00486968"/>
    <w:rsid w:val="004A2F0B"/>
    <w:rsid w:val="0050100E"/>
    <w:rsid w:val="005152F6"/>
    <w:rsid w:val="00572A8F"/>
    <w:rsid w:val="00587C58"/>
    <w:rsid w:val="005926C1"/>
    <w:rsid w:val="00595D47"/>
    <w:rsid w:val="005B0B62"/>
    <w:rsid w:val="005B0D53"/>
    <w:rsid w:val="005C1B7E"/>
    <w:rsid w:val="005F7B67"/>
    <w:rsid w:val="006004AA"/>
    <w:rsid w:val="00622610"/>
    <w:rsid w:val="0063289E"/>
    <w:rsid w:val="006330B2"/>
    <w:rsid w:val="00637E11"/>
    <w:rsid w:val="006A6EED"/>
    <w:rsid w:val="006B3689"/>
    <w:rsid w:val="006C423F"/>
    <w:rsid w:val="006C5632"/>
    <w:rsid w:val="006F6946"/>
    <w:rsid w:val="0070569B"/>
    <w:rsid w:val="00707E09"/>
    <w:rsid w:val="00742942"/>
    <w:rsid w:val="00743A5B"/>
    <w:rsid w:val="00763C17"/>
    <w:rsid w:val="007C114E"/>
    <w:rsid w:val="007C2042"/>
    <w:rsid w:val="007E6463"/>
    <w:rsid w:val="007F3239"/>
    <w:rsid w:val="00801511"/>
    <w:rsid w:val="0082563A"/>
    <w:rsid w:val="008314C6"/>
    <w:rsid w:val="0083757A"/>
    <w:rsid w:val="00877693"/>
    <w:rsid w:val="0088304C"/>
    <w:rsid w:val="008945F0"/>
    <w:rsid w:val="008A0414"/>
    <w:rsid w:val="008C100D"/>
    <w:rsid w:val="00931193"/>
    <w:rsid w:val="009551A6"/>
    <w:rsid w:val="00973681"/>
    <w:rsid w:val="009A0047"/>
    <w:rsid w:val="009B0B61"/>
    <w:rsid w:val="009B3C03"/>
    <w:rsid w:val="009B5456"/>
    <w:rsid w:val="00A063AC"/>
    <w:rsid w:val="00A242B3"/>
    <w:rsid w:val="00A2631E"/>
    <w:rsid w:val="00A62700"/>
    <w:rsid w:val="00A701B1"/>
    <w:rsid w:val="00A756DE"/>
    <w:rsid w:val="00AF0971"/>
    <w:rsid w:val="00B2524A"/>
    <w:rsid w:val="00B508B4"/>
    <w:rsid w:val="00BC286C"/>
    <w:rsid w:val="00BE0735"/>
    <w:rsid w:val="00BE0B54"/>
    <w:rsid w:val="00BF6D9B"/>
    <w:rsid w:val="00C272D5"/>
    <w:rsid w:val="00C50D47"/>
    <w:rsid w:val="00C65F7B"/>
    <w:rsid w:val="00CC3C38"/>
    <w:rsid w:val="00CD2E3D"/>
    <w:rsid w:val="00CD7482"/>
    <w:rsid w:val="00CE260E"/>
    <w:rsid w:val="00CF1CE6"/>
    <w:rsid w:val="00CF1E53"/>
    <w:rsid w:val="00D03CDA"/>
    <w:rsid w:val="00D27CB0"/>
    <w:rsid w:val="00D5558C"/>
    <w:rsid w:val="00D666A7"/>
    <w:rsid w:val="00D943A3"/>
    <w:rsid w:val="00DE751B"/>
    <w:rsid w:val="00DF43F2"/>
    <w:rsid w:val="00E16A00"/>
    <w:rsid w:val="00E23B1F"/>
    <w:rsid w:val="00E3708E"/>
    <w:rsid w:val="00E55E74"/>
    <w:rsid w:val="00EA4A0B"/>
    <w:rsid w:val="00ED5254"/>
    <w:rsid w:val="00F113CD"/>
    <w:rsid w:val="00F67986"/>
    <w:rsid w:val="00F71397"/>
    <w:rsid w:val="00F73914"/>
    <w:rsid w:val="00F817A2"/>
    <w:rsid w:val="00FA3058"/>
    <w:rsid w:val="00FB5195"/>
    <w:rsid w:val="00FF6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48F8"/>
  <w15:chartTrackingRefBased/>
  <w15:docId w15:val="{39A0528C-00D3-4289-96A0-C8CF9C3D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tobiSerif Regular" w:eastAsiaTheme="minorHAnsi" w:hAnsi="StobiSerif Regular"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6E39"/>
    <w:pPr>
      <w:spacing w:before="100" w:beforeAutospacing="1" w:after="100" w:afterAutospacing="1" w:line="240" w:lineRule="auto"/>
      <w:outlineLvl w:val="2"/>
    </w:pPr>
    <w:rPr>
      <w:rFonts w:ascii="Times New Roman" w:eastAsia="Times New Roman" w:hAnsi="Times New Roman" w:cs="Times New Roman"/>
      <w:b/>
      <w:bCs/>
      <w:sz w:val="27"/>
      <w:szCs w:val="27"/>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38B"/>
  </w:style>
  <w:style w:type="paragraph" w:styleId="Footer">
    <w:name w:val="footer"/>
    <w:basedOn w:val="Normal"/>
    <w:link w:val="FooterChar"/>
    <w:uiPriority w:val="99"/>
    <w:unhideWhenUsed/>
    <w:rsid w:val="000D7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38B"/>
  </w:style>
  <w:style w:type="paragraph" w:styleId="ListParagraph">
    <w:name w:val="List Paragraph"/>
    <w:basedOn w:val="Normal"/>
    <w:uiPriority w:val="34"/>
    <w:qFormat/>
    <w:rsid w:val="00B2524A"/>
    <w:pPr>
      <w:ind w:left="720"/>
      <w:contextualSpacing/>
    </w:pPr>
  </w:style>
  <w:style w:type="character" w:customStyle="1" w:styleId="Heading3Char">
    <w:name w:val="Heading 3 Char"/>
    <w:basedOn w:val="DefaultParagraphFont"/>
    <w:link w:val="Heading3"/>
    <w:uiPriority w:val="9"/>
    <w:rsid w:val="00306E39"/>
    <w:rPr>
      <w:rFonts w:ascii="Times New Roman" w:eastAsia="Times New Roman" w:hAnsi="Times New Roman" w:cs="Times New Roman"/>
      <w:b/>
      <w:bCs/>
      <w:sz w:val="27"/>
      <w:szCs w:val="27"/>
      <w:lang w:val="mk-MK" w:eastAsia="mk-MK"/>
    </w:rPr>
  </w:style>
  <w:style w:type="character" w:styleId="Strong">
    <w:name w:val="Strong"/>
    <w:basedOn w:val="DefaultParagraphFont"/>
    <w:uiPriority w:val="22"/>
    <w:qFormat/>
    <w:rsid w:val="00306E39"/>
    <w:rPr>
      <w:b/>
      <w:bCs/>
    </w:rPr>
  </w:style>
  <w:style w:type="paragraph" w:styleId="NormalWeb">
    <w:name w:val="Normal (Web)"/>
    <w:basedOn w:val="Normal"/>
    <w:uiPriority w:val="99"/>
    <w:semiHidden/>
    <w:unhideWhenUsed/>
    <w:rsid w:val="00306E39"/>
    <w:pPr>
      <w:spacing w:before="100" w:beforeAutospacing="1" w:after="100" w:afterAutospacing="1" w:line="240" w:lineRule="auto"/>
    </w:pPr>
    <w:rPr>
      <w:rFonts w:ascii="Times New Roman" w:eastAsia="Times New Roman" w:hAnsi="Times New Roman" w:cs="Times New Roman"/>
      <w:lang w:val="mk-MK" w:eastAsia="mk-MK"/>
    </w:rPr>
  </w:style>
  <w:style w:type="paragraph" w:customStyle="1" w:styleId="Default">
    <w:name w:val="Default"/>
    <w:rsid w:val="00CE260E"/>
    <w:pPr>
      <w:autoSpaceDE w:val="0"/>
      <w:autoSpaceDN w:val="0"/>
      <w:adjustRightInd w:val="0"/>
      <w:spacing w:after="0" w:line="240" w:lineRule="auto"/>
    </w:pPr>
    <w:rPr>
      <w:rFonts w:ascii="Arial" w:eastAsiaTheme="minorEastAsia" w:hAnsi="Arial" w:cs="Arial"/>
      <w:color w:val="000000"/>
      <w:lang w:val="mk-MK"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3308">
      <w:bodyDiv w:val="1"/>
      <w:marLeft w:val="0"/>
      <w:marRight w:val="0"/>
      <w:marTop w:val="0"/>
      <w:marBottom w:val="0"/>
      <w:divBdr>
        <w:top w:val="none" w:sz="0" w:space="0" w:color="auto"/>
        <w:left w:val="none" w:sz="0" w:space="0" w:color="auto"/>
        <w:bottom w:val="none" w:sz="0" w:space="0" w:color="auto"/>
        <w:right w:val="none" w:sz="0" w:space="0" w:color="auto"/>
      </w:divBdr>
      <w:divsChild>
        <w:div w:id="1579169489">
          <w:marLeft w:val="0"/>
          <w:marRight w:val="0"/>
          <w:marTop w:val="0"/>
          <w:marBottom w:val="0"/>
          <w:divBdr>
            <w:top w:val="none" w:sz="0" w:space="0" w:color="auto"/>
            <w:left w:val="none" w:sz="0" w:space="0" w:color="auto"/>
            <w:bottom w:val="none" w:sz="0" w:space="0" w:color="auto"/>
            <w:right w:val="none" w:sz="0" w:space="0" w:color="auto"/>
          </w:divBdr>
          <w:divsChild>
            <w:div w:id="13458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52586">
      <w:bodyDiv w:val="1"/>
      <w:marLeft w:val="0"/>
      <w:marRight w:val="0"/>
      <w:marTop w:val="0"/>
      <w:marBottom w:val="0"/>
      <w:divBdr>
        <w:top w:val="none" w:sz="0" w:space="0" w:color="auto"/>
        <w:left w:val="none" w:sz="0" w:space="0" w:color="auto"/>
        <w:bottom w:val="none" w:sz="0" w:space="0" w:color="auto"/>
        <w:right w:val="none" w:sz="0" w:space="0" w:color="auto"/>
      </w:divBdr>
    </w:div>
    <w:div w:id="537090528">
      <w:bodyDiv w:val="1"/>
      <w:marLeft w:val="0"/>
      <w:marRight w:val="0"/>
      <w:marTop w:val="0"/>
      <w:marBottom w:val="0"/>
      <w:divBdr>
        <w:top w:val="none" w:sz="0" w:space="0" w:color="auto"/>
        <w:left w:val="none" w:sz="0" w:space="0" w:color="auto"/>
        <w:bottom w:val="none" w:sz="0" w:space="0" w:color="auto"/>
        <w:right w:val="none" w:sz="0" w:space="0" w:color="auto"/>
      </w:divBdr>
    </w:div>
    <w:div w:id="603416680">
      <w:bodyDiv w:val="1"/>
      <w:marLeft w:val="0"/>
      <w:marRight w:val="0"/>
      <w:marTop w:val="0"/>
      <w:marBottom w:val="0"/>
      <w:divBdr>
        <w:top w:val="none" w:sz="0" w:space="0" w:color="auto"/>
        <w:left w:val="none" w:sz="0" w:space="0" w:color="auto"/>
        <w:bottom w:val="none" w:sz="0" w:space="0" w:color="auto"/>
        <w:right w:val="none" w:sz="0" w:space="0" w:color="auto"/>
      </w:divBdr>
    </w:div>
    <w:div w:id="874541480">
      <w:bodyDiv w:val="1"/>
      <w:marLeft w:val="0"/>
      <w:marRight w:val="0"/>
      <w:marTop w:val="0"/>
      <w:marBottom w:val="0"/>
      <w:divBdr>
        <w:top w:val="none" w:sz="0" w:space="0" w:color="auto"/>
        <w:left w:val="none" w:sz="0" w:space="0" w:color="auto"/>
        <w:bottom w:val="none" w:sz="0" w:space="0" w:color="auto"/>
        <w:right w:val="none" w:sz="0" w:space="0" w:color="auto"/>
      </w:divBdr>
    </w:div>
    <w:div w:id="1188447465">
      <w:bodyDiv w:val="1"/>
      <w:marLeft w:val="0"/>
      <w:marRight w:val="0"/>
      <w:marTop w:val="0"/>
      <w:marBottom w:val="0"/>
      <w:divBdr>
        <w:top w:val="none" w:sz="0" w:space="0" w:color="auto"/>
        <w:left w:val="none" w:sz="0" w:space="0" w:color="auto"/>
        <w:bottom w:val="none" w:sz="0" w:space="0" w:color="auto"/>
        <w:right w:val="none" w:sz="0" w:space="0" w:color="auto"/>
      </w:divBdr>
    </w:div>
    <w:div w:id="14685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2577113407699039"/>
          <c:y val="0.15065063594060599"/>
          <c:w val="0.4690205325896763"/>
          <c:h val="0.80986978237905038"/>
        </c:manualLayout>
      </c:layout>
      <c:bar3DChart>
        <c:barDir val="bar"/>
        <c:grouping val="cluster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21806853582554517"/>
                  <c:y val="-3.5890528800312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D1-4A03-A635-48672C49AC6F}"/>
                </c:ext>
              </c:extLst>
            </c:dLbl>
            <c:dLbl>
              <c:idx val="1"/>
              <c:layout>
                <c:manualLayout>
                  <c:x val="-2.8462980588964841E-2"/>
                  <c:y val="-3.05443637727102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D1-4A03-A635-48672C49AC6F}"/>
                </c:ext>
              </c:extLst>
            </c:dLbl>
            <c:dLbl>
              <c:idx val="2"/>
              <c:layout>
                <c:manualLayout>
                  <c:x val="-4.0251699306817414E-2"/>
                  <c:y val="-7.004057897821887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D1-4A03-A635-48672C49AC6F}"/>
                </c:ext>
              </c:extLst>
            </c:dLbl>
            <c:dLbl>
              <c:idx val="3"/>
              <c:layout>
                <c:manualLayout>
                  <c:x val="-0.1277258566978193"/>
                  <c:y val="-3.5890528800312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D1-4A03-A635-48672C49AC6F}"/>
                </c:ext>
              </c:extLst>
            </c:dLbl>
            <c:dLbl>
              <c:idx val="4"/>
              <c:layout>
                <c:manualLayout>
                  <c:x val="-4.62762111352133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D1-4A03-A635-48672C49AC6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mk-M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Решенија со кои Жалбата се уважува и се наложува првостепениот орган да постапи по Барањето на барателот</c:v>
                </c:pt>
                <c:pt idx="1">
                  <c:v>Решенија со кои Жалбата се одбива како неоснована</c:v>
                </c:pt>
                <c:pt idx="2">
                  <c:v>Решенија со кои Жалбата се отфрла како недопуштена</c:v>
                </c:pt>
                <c:pt idx="3">
                  <c:v>Решенија со кои се запира постапката по Жалба поради повлекување на истата од страна на барателот, поради добиен одговор од имателите во текот на второстепената постапка</c:v>
                </c:pt>
                <c:pt idx="4">
                  <c:v>Решенија вратени на повторно постапување кај имателот на информации</c:v>
                </c:pt>
              </c:strCache>
            </c:strRef>
          </c:cat>
          <c:val>
            <c:numRef>
              <c:f>Sheet1!$B$2:$B$6</c:f>
              <c:numCache>
                <c:formatCode>General</c:formatCode>
                <c:ptCount val="5"/>
                <c:pt idx="0">
                  <c:v>149</c:v>
                </c:pt>
                <c:pt idx="1">
                  <c:v>5</c:v>
                </c:pt>
                <c:pt idx="2">
                  <c:v>12</c:v>
                </c:pt>
                <c:pt idx="3">
                  <c:v>49</c:v>
                </c:pt>
                <c:pt idx="4">
                  <c:v>19</c:v>
                </c:pt>
              </c:numCache>
            </c:numRef>
          </c:val>
          <c:extLst>
            <c:ext xmlns:c16="http://schemas.microsoft.com/office/drawing/2014/chart" uri="{C3380CC4-5D6E-409C-BE32-E72D297353CC}">
              <c16:uniqueId val="{00000005-D8D1-4A03-A635-48672C49AC6F}"/>
            </c:ext>
          </c:extLst>
        </c:ser>
        <c:dLbls>
          <c:showLegendKey val="0"/>
          <c:showVal val="1"/>
          <c:showCatName val="0"/>
          <c:showSerName val="0"/>
          <c:showPercent val="0"/>
          <c:showBubbleSize val="0"/>
        </c:dLbls>
        <c:gapWidth val="150"/>
        <c:shape val="box"/>
        <c:axId val="1560950767"/>
        <c:axId val="1481519375"/>
        <c:axId val="0"/>
      </c:bar3DChart>
      <c:catAx>
        <c:axId val="156095076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1481519375"/>
        <c:crosses val="autoZero"/>
        <c:auto val="1"/>
        <c:lblAlgn val="ctr"/>
        <c:lblOffset val="100"/>
        <c:noMultiLvlLbl val="0"/>
      </c:catAx>
      <c:valAx>
        <c:axId val="14815193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k-MK"/>
          </a:p>
        </c:txPr>
        <c:crossAx val="1560950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B5C9C-125A-4333-9A35-01D54A58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dc:creator>
  <cp:keywords/>
  <dc:description/>
  <cp:lastModifiedBy>oliver serafimovski Fimovski</cp:lastModifiedBy>
  <cp:revision>2</cp:revision>
  <cp:lastPrinted>2025-07-30T10:57:00Z</cp:lastPrinted>
  <dcterms:created xsi:type="dcterms:W3CDTF">2025-07-30T14:18:00Z</dcterms:created>
  <dcterms:modified xsi:type="dcterms:W3CDTF">2025-07-30T14:18:00Z</dcterms:modified>
</cp:coreProperties>
</file>