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 124/2015)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 101/2019),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E71C1">
        <w:rPr>
          <w:rFonts w:ascii="StobiSerif Regular" w:hAnsi="StobiSerif Regular"/>
          <w:sz w:val="22"/>
          <w:szCs w:val="22"/>
          <w:lang w:val="mk-MK"/>
        </w:rPr>
        <w:t>Акционерско друштво за издавање на деловен простор под закуп Градски трговски центар - 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преку Никола Соколовски, извршен директор,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Град Скопје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E71C1">
        <w:rPr>
          <w:rFonts w:ascii="StobiSerif Regular" w:hAnsi="StobiSerif Regular"/>
          <w:sz w:val="22"/>
          <w:szCs w:val="22"/>
          <w:lang w:val="mk-MK"/>
        </w:rPr>
        <w:t>19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6E71C1">
        <w:rPr>
          <w:rFonts w:ascii="StobiSerif Regular" w:hAnsi="StobiSerif Regular"/>
          <w:sz w:val="22"/>
          <w:szCs w:val="22"/>
          <w:lang w:val="mk-MK"/>
        </w:rPr>
        <w:t>5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Акционерско друштво за издавање на деловен простор под закуп Градски трговски центар - Скопје, </w:t>
      </w:r>
      <w:r w:rsidR="006E71C1" w:rsidRPr="002A32B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преку Никола Соколовски, извршен директор, </w:t>
      </w:r>
      <w:r w:rsidR="006E71C1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 Град Скопје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6E71C1">
        <w:rPr>
          <w:rFonts w:ascii="StobiSerif Regular" w:hAnsi="StobiSerif Regular"/>
          <w:sz w:val="22"/>
          <w:szCs w:val="22"/>
          <w:lang w:val="mk-MK"/>
        </w:rPr>
        <w:t>272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E71C1">
        <w:rPr>
          <w:rFonts w:ascii="StobiSerif Regular" w:hAnsi="StobiSerif Regular"/>
          <w:sz w:val="22"/>
          <w:szCs w:val="22"/>
          <w:lang w:val="mk-MK"/>
        </w:rPr>
        <w:t>05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  <w:r w:rsidR="006E71C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6E71C1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Акционерско друштво за издавање на деловен простор под закуп Градски трговски центар -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15</w:t>
      </w:r>
      <w:r w:rsidR="004021AB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4021AB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>
        <w:rPr>
          <w:rFonts w:ascii="StobiSerif Regular" w:hAnsi="StobiSerif Regular"/>
          <w:sz w:val="22"/>
          <w:szCs w:val="22"/>
          <w:lang w:val="ru-RU"/>
        </w:rPr>
        <w:t>о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DD6F71">
        <w:rPr>
          <w:rFonts w:ascii="StobiSerif Regular" w:hAnsi="StobiSerif Regular"/>
          <w:sz w:val="22"/>
          <w:szCs w:val="22"/>
          <w:lang w:val="mk-MK"/>
        </w:rPr>
        <w:t xml:space="preserve"> Град Скопје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</w:t>
      </w:r>
      <w:r>
        <w:rPr>
          <w:rFonts w:ascii="StobiSerif Regular" w:hAnsi="StobiSerif Regular"/>
          <w:sz w:val="22"/>
          <w:szCs w:val="22"/>
          <w:lang w:val="mk-MK"/>
        </w:rPr>
        <w:t xml:space="preserve"> пошта или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>
        <w:rPr>
          <w:rFonts w:ascii="StobiSerif Regular" w:hAnsi="StobiSerif Regular"/>
          <w:sz w:val="22"/>
          <w:szCs w:val="22"/>
          <w:lang w:val="mk-MK"/>
        </w:rPr>
        <w:t>да му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фотокопија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4021AB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4021AB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6E71C1" w:rsidRDefault="003E14E7" w:rsidP="006E71C1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Договор склучен помеѓу инвеститорот Град Скопје и </w:t>
      </w:r>
      <w:r w:rsidR="006E71C1">
        <w:rPr>
          <w:rFonts w:ascii="StobiSerif Regular" w:hAnsi="StobiSerif Regular"/>
          <w:sz w:val="22"/>
          <w:szCs w:val="22"/>
          <w:lang w:val="sq-AL"/>
        </w:rPr>
        <w:t xml:space="preserve">UNDP </w:t>
      </w:r>
      <w:r w:rsidR="006E71C1">
        <w:rPr>
          <w:rFonts w:ascii="StobiSerif Regular" w:hAnsi="StobiSerif Regular"/>
          <w:sz w:val="22"/>
          <w:szCs w:val="22"/>
          <w:lang w:val="mk-MK"/>
        </w:rPr>
        <w:t>а во врска со меѓусебните односи при реконструкција и адаптација на дел од објект Зелена тераса во ГТЦ во Скопје</w:t>
      </w:r>
      <w:r w:rsidR="000C5A9F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6E71C1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A32BB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</w:rPr>
        <w:t>. 08-</w:t>
      </w:r>
      <w:r w:rsidR="006E71C1">
        <w:rPr>
          <w:rFonts w:ascii="StobiSerif Regular" w:hAnsi="StobiSerif Regular"/>
          <w:sz w:val="22"/>
          <w:szCs w:val="22"/>
          <w:lang w:val="mk-MK"/>
        </w:rPr>
        <w:t>272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6E71C1">
        <w:rPr>
          <w:rFonts w:ascii="StobiSerif Regular" w:hAnsi="StobiSerif Regular"/>
          <w:sz w:val="22"/>
          <w:szCs w:val="22"/>
          <w:lang w:val="mk-MK"/>
        </w:rPr>
        <w:t>05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6E71C1">
        <w:rPr>
          <w:rFonts w:ascii="StobiSerif Regular" w:hAnsi="StobiSerif Regular"/>
          <w:sz w:val="22"/>
          <w:szCs w:val="22"/>
          <w:lang w:val="mk-MK"/>
        </w:rPr>
        <w:t>272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6E71C1">
        <w:rPr>
          <w:rFonts w:ascii="StobiSerif Regular" w:hAnsi="StobiSerif Regular"/>
          <w:sz w:val="22"/>
          <w:szCs w:val="22"/>
          <w:lang w:val="mk-MK"/>
        </w:rPr>
        <w:t>0</w:t>
      </w:r>
      <w:r w:rsidR="00076E05">
        <w:rPr>
          <w:rFonts w:ascii="StobiSerif Regular" w:hAnsi="StobiSerif Regular"/>
          <w:sz w:val="22"/>
          <w:szCs w:val="22"/>
          <w:lang w:val="mk-MK"/>
        </w:rPr>
        <w:t>9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21387" w:rsidRPr="00021387" w:rsidRDefault="00021387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 w:rsidR="00173EAC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A32BB" w:rsidRPr="00AB2D45" w:rsidRDefault="002A32BB" w:rsidP="00346C31">
      <w:pPr>
        <w:pStyle w:val="NoSpacing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23D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23D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9D79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4B33-575E-465F-840D-63C82887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2025-06-19T09:27:00Z</cp:lastPrinted>
  <dcterms:created xsi:type="dcterms:W3CDTF">2025-06-19T09:22:00Z</dcterms:created>
  <dcterms:modified xsi:type="dcterms:W3CDTF">2025-07-14T09:42:00Z</dcterms:modified>
</cp:coreProperties>
</file>