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8708" w14:textId="22AEB00F" w:rsidR="009C5853" w:rsidRDefault="009C5853" w:rsidP="009C5853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3F75CC3" wp14:editId="04688329">
            <wp:extent cx="314960" cy="661670"/>
            <wp:effectExtent l="0" t="0" r="8890" b="508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564" cy="662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8BF88" w14:textId="77777777" w:rsidR="009C5853" w:rsidRDefault="009C5853" w:rsidP="009C5853">
      <w:pPr>
        <w:pStyle w:val="BodyText"/>
        <w:rPr>
          <w:rFonts w:ascii="Arial"/>
          <w:bCs/>
          <w:iCs/>
          <w:sz w:val="20"/>
        </w:rPr>
      </w:pPr>
    </w:p>
    <w:p w14:paraId="11D08EDA" w14:textId="27AD6216" w:rsidR="009C5853" w:rsidRPr="009C5853" w:rsidRDefault="009C5853" w:rsidP="009C5853">
      <w:pPr>
        <w:pStyle w:val="BodyText"/>
        <w:jc w:val="center"/>
        <w:rPr>
          <w:rFonts w:ascii="StobiSerif Regular" w:hAnsi="StobiSerif Regular"/>
          <w:b/>
          <w:iCs/>
          <w:sz w:val="24"/>
          <w:szCs w:val="24"/>
        </w:rPr>
      </w:pPr>
      <w:r w:rsidRPr="009C5853">
        <w:rPr>
          <w:rFonts w:ascii="StobiSerif Regular" w:hAnsi="StobiSerif Regular"/>
          <w:b/>
          <w:iCs/>
          <w:sz w:val="24"/>
          <w:szCs w:val="24"/>
        </w:rPr>
        <w:t>Агенцијата за заштита на правото на слободен пристап до информации од јавен карактер</w:t>
      </w:r>
    </w:p>
    <w:p w14:paraId="0904F041" w14:textId="77777777" w:rsidR="009C5853" w:rsidRDefault="009C5853" w:rsidP="009C5853">
      <w:pPr>
        <w:pStyle w:val="BodyText"/>
        <w:spacing w:before="171"/>
        <w:rPr>
          <w:rFonts w:ascii="Arial"/>
          <w:b/>
          <w:i/>
          <w:sz w:val="20"/>
        </w:rPr>
      </w:pPr>
      <w:r>
        <w:rPr>
          <w:rFonts w:ascii="Arial"/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3C8770" wp14:editId="1124B5B2">
                <wp:simplePos x="0" y="0"/>
                <wp:positionH relativeFrom="page">
                  <wp:posOffset>1445005</wp:posOffset>
                </wp:positionH>
                <wp:positionV relativeFrom="paragraph">
                  <wp:posOffset>270310</wp:posOffset>
                </wp:positionV>
                <wp:extent cx="4883785" cy="6350"/>
                <wp:effectExtent l="0" t="0" r="0" b="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37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3785" h="6350">
                              <a:moveTo>
                                <a:pt x="488378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83785" y="6096"/>
                              </a:lnTo>
                              <a:lnTo>
                                <a:pt x="4883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1FAB6" id="Freeform: Shape 1" o:spid="_x0000_s1026" style="position:absolute;margin-left:113.8pt;margin-top:21.3pt;width:384.55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37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" path="m4883785,l,,,6096r4883785,l4883785,xe" fillcolor="#4f81bc" stroked="f">
                <v:path arrowok="t"/>
                <w10:wrap type="topAndBottom" anchorx="page"/>
              </v:shape>
            </w:pict>
          </mc:Fallback>
        </mc:AlternateContent>
      </w:r>
    </w:p>
    <w:p w14:paraId="62E124F9" w14:textId="2F0343DA" w:rsidR="009C5853" w:rsidRPr="009C5853" w:rsidRDefault="009C5853" w:rsidP="009C5853">
      <w:pPr>
        <w:spacing w:before="100" w:beforeAutospacing="1" w:after="100" w:afterAutospacing="1"/>
        <w:jc w:val="center"/>
        <w:rPr>
          <w:rFonts w:ascii="StobiSerif Regular" w:eastAsia="Times New Roman" w:hAnsi="StobiSerif Regular" w:cs="Times New Roman"/>
          <w:b/>
          <w:bCs/>
          <w:sz w:val="32"/>
          <w:szCs w:val="32"/>
          <w:lang w:val="mk-MK"/>
        </w:rPr>
      </w:pPr>
      <w:r w:rsidRPr="009C5853">
        <w:rPr>
          <w:rFonts w:ascii="StobiSerif Regular" w:eastAsia="Times New Roman" w:hAnsi="StobiSerif Regular" w:cs="Times New Roman"/>
          <w:b/>
          <w:bCs/>
          <w:sz w:val="32"/>
          <w:szCs w:val="32"/>
          <w:lang w:val="mk-MK"/>
        </w:rPr>
        <w:t>СПОРЕДБЕНА АНАЛИЗА НА АКТИВНА</w:t>
      </w:r>
      <w:r>
        <w:rPr>
          <w:rFonts w:ascii="StobiSerif Regular" w:eastAsia="Times New Roman" w:hAnsi="StobiSerif Regular" w:cs="Times New Roman"/>
          <w:b/>
          <w:bCs/>
          <w:sz w:val="32"/>
          <w:szCs w:val="32"/>
          <w:lang w:val="mk-MK"/>
        </w:rPr>
        <w:t>ТА</w:t>
      </w:r>
      <w:r w:rsidRPr="009C5853">
        <w:rPr>
          <w:rFonts w:ascii="StobiSerif Regular" w:eastAsia="Times New Roman" w:hAnsi="StobiSerif Regular" w:cs="Times New Roman"/>
          <w:b/>
          <w:bCs/>
          <w:sz w:val="32"/>
          <w:szCs w:val="32"/>
          <w:lang w:val="mk-MK"/>
        </w:rPr>
        <w:t xml:space="preserve"> ТРАНСПАРЕНТНОСТ ЗА 2021, 2023 И 2025 ГОДИНА НА ЈАВНИТЕ ПРЕТПРИЈАТИЈА ВО ОПШТИНСКА НАДЛЕЖНОСТ</w:t>
      </w:r>
    </w:p>
    <w:p w14:paraId="677FD07D" w14:textId="6DE36B74" w:rsidR="009C5853" w:rsidRPr="009C5853" w:rsidRDefault="009C5853" w:rsidP="009C5853">
      <w:pPr>
        <w:pStyle w:val="BodyText"/>
        <w:spacing w:before="9"/>
        <w:rPr>
          <w:rFonts w:ascii="Arial"/>
          <w:b/>
          <w:i/>
          <w:sz w:val="13"/>
        </w:rPr>
      </w:pPr>
      <w:r>
        <w:rPr>
          <w:rFonts w:ascii="Arial"/>
          <w:b/>
          <w:i/>
          <w:noProof/>
          <w:sz w:val="13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85B379E" wp14:editId="6E718CF3">
                <wp:simplePos x="0" y="0"/>
                <wp:positionH relativeFrom="page">
                  <wp:posOffset>1445005</wp:posOffset>
                </wp:positionH>
                <wp:positionV relativeFrom="paragraph">
                  <wp:posOffset>115930</wp:posOffset>
                </wp:positionV>
                <wp:extent cx="4883785" cy="6350"/>
                <wp:effectExtent l="0" t="0" r="0" b="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37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3785" h="6350">
                              <a:moveTo>
                                <a:pt x="488378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83785" y="6096"/>
                              </a:lnTo>
                              <a:lnTo>
                                <a:pt x="4883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76999" id="Freeform: Shape 1" o:spid="_x0000_s1026" style="position:absolute;margin-left:113.8pt;margin-top:9.15pt;width:384.55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37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" path="m4883785,l,,,6096r4883785,l4883785,xe" fillcolor="#4f81bc" stroked="f">
                <v:path arrowok="t"/>
                <w10:wrap type="topAndBottom" anchorx="page"/>
              </v:shape>
            </w:pict>
          </mc:Fallback>
        </mc:AlternateContent>
      </w:r>
    </w:p>
    <w:p w14:paraId="777AC431" w14:textId="77777777" w:rsidR="009C5853" w:rsidRDefault="009C5853"/>
    <w:p w14:paraId="244297FE" w14:textId="77777777" w:rsidR="009C5853" w:rsidRDefault="009C5853"/>
    <w:p w14:paraId="5291C36D" w14:textId="77777777" w:rsidR="009C5853" w:rsidRDefault="009C5853"/>
    <w:p w14:paraId="22776DA2" w14:textId="3E7352DD" w:rsidR="007C2042" w:rsidRDefault="009C5853" w:rsidP="009C5853">
      <w:pPr>
        <w:jc w:val="center"/>
      </w:pPr>
      <w:r>
        <w:rPr>
          <w:noProof/>
        </w:rPr>
        <w:drawing>
          <wp:inline distT="0" distB="0" distL="0" distR="0" wp14:anchorId="061E8416" wp14:editId="2CC3C592">
            <wp:extent cx="5446798" cy="4733365"/>
            <wp:effectExtent l="0" t="0" r="1905" b="0"/>
            <wp:docPr id="75816590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069" cy="475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ABDE23" w14:textId="77777777" w:rsidR="009C5853" w:rsidRDefault="009C5853" w:rsidP="009C5853">
      <w:pPr>
        <w:jc w:val="center"/>
        <w:rPr>
          <w:lang w:val="mk-MK"/>
        </w:rPr>
      </w:pPr>
    </w:p>
    <w:p w14:paraId="56CDF510" w14:textId="44684654" w:rsidR="009C5853" w:rsidRPr="009C5853" w:rsidRDefault="009C5853" w:rsidP="009C5853">
      <w:pPr>
        <w:jc w:val="center"/>
        <w:rPr>
          <w:rFonts w:ascii="StobiSerif Regular" w:hAnsi="StobiSerif Regular"/>
          <w:b/>
          <w:bCs/>
          <w:lang w:val="mk-MK"/>
        </w:rPr>
      </w:pPr>
      <w:r w:rsidRPr="009C5853">
        <w:rPr>
          <w:rFonts w:ascii="StobiSerif Regular" w:hAnsi="StobiSerif Regular"/>
          <w:b/>
          <w:bCs/>
          <w:lang w:val="mk-MK"/>
        </w:rPr>
        <w:t>Скопје, април 2025 година</w:t>
      </w:r>
    </w:p>
    <w:p w14:paraId="51256B40" w14:textId="77777777" w:rsidR="009C5853" w:rsidRPr="009C5853" w:rsidRDefault="009C5853" w:rsidP="009C5853">
      <w:pPr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  <w:lang w:val="mk-MK"/>
        </w:rPr>
      </w:pPr>
      <w:r w:rsidRPr="009C5853">
        <w:rPr>
          <w:rFonts w:ascii="StobiSerif Regular" w:eastAsia="Times New Roman" w:hAnsi="StobiSerif Regular" w:cs="Times New Roman"/>
          <w:sz w:val="24"/>
          <w:szCs w:val="24"/>
          <w:lang w:val="mk-MK"/>
        </w:rPr>
        <w:lastRenderedPageBreak/>
        <w:t xml:space="preserve">Методологијата на статистичката квантитативна анализа се потпира на добиени податоци од мониторинзите спроведени во 2021, 2023 и 2025 година. </w:t>
      </w:r>
    </w:p>
    <w:p w14:paraId="23905496" w14:textId="1C410858" w:rsidR="009C5853" w:rsidRPr="009C5853" w:rsidRDefault="009C5853" w:rsidP="009C5853">
      <w:pPr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  <w:lang w:val="mk-MK"/>
        </w:rPr>
      </w:pPr>
      <w:r w:rsidRPr="009C5853">
        <w:rPr>
          <w:rFonts w:ascii="StobiSerif Regular" w:eastAsia="Times New Roman" w:hAnsi="StobiSerif Regular" w:cs="Times New Roman"/>
          <w:sz w:val="24"/>
          <w:szCs w:val="24"/>
          <w:lang w:val="mk-MK"/>
        </w:rPr>
        <w:t xml:space="preserve">Од Листата на иматели, за оваа анализа  е земен репрезентативен примерок од 21 имател на информации, од досега мониторираните институции, кои се основани и во надлежност на единиците на локалната самоуправа и  нивниот индекс  на активна транспарентност. </w:t>
      </w:r>
    </w:p>
    <w:p w14:paraId="7309CC44" w14:textId="77777777" w:rsidR="009C5853" w:rsidRPr="009C5853" w:rsidRDefault="009C5853" w:rsidP="009C5853">
      <w:pPr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  <w:lang w:val="mk-MK"/>
        </w:rPr>
      </w:pPr>
      <w:r w:rsidRPr="009C5853">
        <w:rPr>
          <w:rFonts w:ascii="StobiSerif Regular" w:eastAsia="Times New Roman" w:hAnsi="StobiSerif Regular" w:cs="Times New Roman"/>
          <w:sz w:val="24"/>
          <w:szCs w:val="24"/>
          <w:lang w:val="mk-MK"/>
        </w:rPr>
        <w:t>Анализата ја детектира состојбата и успешноста на овие институции во работењето на полето на транспарентност и отчетност кон граѓаните во изминатиот период.</w:t>
      </w:r>
    </w:p>
    <w:p w14:paraId="59EE3B5F" w14:textId="7B1A566B" w:rsidR="009C5853" w:rsidRPr="009C5853" w:rsidRDefault="009C5853" w:rsidP="009C5853">
      <w:pPr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  <w:lang w:val="mk-MK"/>
        </w:rPr>
      </w:pP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Целта е да се оцени степенот на </w:t>
      </w:r>
      <w:r w:rsidR="00234E02">
        <w:rPr>
          <w:rFonts w:ascii="StobiSerif Regular" w:eastAsia="Times New Roman" w:hAnsi="StobiSerif Regular" w:cs="Times New Roman"/>
          <w:sz w:val="24"/>
          <w:szCs w:val="24"/>
          <w:lang w:val="mk-MK"/>
        </w:rPr>
        <w:t>проактивното информирање на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 граѓаните</w:t>
      </w:r>
      <w:r w:rsidRPr="009C5853">
        <w:rPr>
          <w:rFonts w:ascii="StobiSerif Regular" w:eastAsia="Times New Roman" w:hAnsi="StobiSerif Regular" w:cs="Times New Roman"/>
          <w:sz w:val="24"/>
          <w:szCs w:val="24"/>
          <w:lang w:val="mk-MK"/>
        </w:rPr>
        <w:t>,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 преку објавување </w:t>
      </w:r>
      <w:r w:rsidRPr="009C5853">
        <w:rPr>
          <w:rFonts w:ascii="StobiSerif Regular" w:eastAsia="Times New Roman" w:hAnsi="StobiSerif Regular" w:cs="Times New Roman"/>
          <w:sz w:val="24"/>
          <w:szCs w:val="24"/>
          <w:lang w:val="mk-MK"/>
        </w:rPr>
        <w:t xml:space="preserve">на 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>информации од јавен карактер</w:t>
      </w:r>
      <w:r w:rsidRPr="009C5853">
        <w:rPr>
          <w:rFonts w:ascii="StobiSerif Regular" w:eastAsia="Times New Roman" w:hAnsi="StobiSerif Regular" w:cs="Times New Roman"/>
          <w:sz w:val="24"/>
          <w:szCs w:val="24"/>
          <w:lang w:val="mk-MK"/>
        </w:rPr>
        <w:t xml:space="preserve"> на своите веб страници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>.</w:t>
      </w:r>
    </w:p>
    <w:p w14:paraId="2368904B" w14:textId="77777777" w:rsidR="009C5853" w:rsidRPr="009C5853" w:rsidRDefault="009C5853" w:rsidP="009C5853">
      <w:pPr>
        <w:spacing w:before="100" w:beforeAutospacing="1" w:after="100" w:afterAutospacing="1"/>
        <w:jc w:val="both"/>
        <w:outlineLvl w:val="2"/>
        <w:rPr>
          <w:rFonts w:ascii="StobiSerif Regular" w:eastAsia="Times New Roman" w:hAnsi="StobiSerif Regular" w:cs="Times New Roman"/>
          <w:b/>
          <w:bCs/>
          <w:sz w:val="24"/>
          <w:szCs w:val="24"/>
          <w:lang w:val="mk-MK"/>
        </w:rPr>
      </w:pP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Клучни наоди по години:</w:t>
      </w:r>
    </w:p>
    <w:p w14:paraId="7D744C7B" w14:textId="77777777" w:rsidR="009C5853" w:rsidRPr="009C5853" w:rsidRDefault="009C5853" w:rsidP="009C5853">
      <w:pPr>
        <w:spacing w:before="100" w:beforeAutospacing="1" w:after="100" w:afterAutospacing="1"/>
        <w:jc w:val="both"/>
        <w:outlineLvl w:val="2"/>
        <w:rPr>
          <w:rFonts w:ascii="StobiSerif Regular" w:eastAsia="Times New Roman" w:hAnsi="StobiSerif Regular" w:cs="Times New Roman"/>
          <w:b/>
          <w:bCs/>
          <w:sz w:val="24"/>
          <w:szCs w:val="24"/>
          <w:lang w:val="mk-MK"/>
        </w:rPr>
      </w:pP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Најголемите осцилации се бележат кај претпријатијата со високо ниво – некои бележат пад, додека други прават прогресија. Ова упатува на 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неконзистентност во одржувањето на стандардите за транспарентност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>.</w:t>
      </w:r>
    </w:p>
    <w:p w14:paraId="71A71692" w14:textId="77777777" w:rsidR="009C5853" w:rsidRPr="009C5853" w:rsidRDefault="009C5853" w:rsidP="009C5853">
      <w:pPr>
        <w:spacing w:before="100" w:beforeAutospacing="1" w:after="100" w:afterAutospacing="1"/>
        <w:jc w:val="both"/>
        <w:outlineLvl w:val="3"/>
        <w:rPr>
          <w:rFonts w:ascii="StobiSerif Regular" w:eastAsia="Times New Roman" w:hAnsi="StobiSerif Regular" w:cs="Times New Roman"/>
          <w:b/>
          <w:bCs/>
          <w:sz w:val="24"/>
          <w:szCs w:val="24"/>
        </w:rPr>
      </w:pP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2021 година</w:t>
      </w:r>
    </w:p>
    <w:p w14:paraId="3219E40A" w14:textId="1C6BF2F9" w:rsidR="009C5853" w:rsidRPr="009C5853" w:rsidRDefault="00234E02" w:rsidP="009C5853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>
        <w:rPr>
          <w:rFonts w:ascii="StobiSerif Regular" w:eastAsia="Times New Roman" w:hAnsi="StobiSerif Regular" w:cs="Times New Roman"/>
          <w:b/>
          <w:bCs/>
          <w:sz w:val="24"/>
          <w:szCs w:val="24"/>
          <w:lang w:val="mk-MK"/>
        </w:rPr>
        <w:t>22</w:t>
      </w:r>
      <w:r w:rsidR="009C5853"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 xml:space="preserve"> претпријатија</w:t>
      </w:r>
      <w:r w:rsidR="009C5853"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 имале </w:t>
      </w:r>
      <w:r w:rsidR="009C5853"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многу ниско</w:t>
      </w:r>
      <w:r w:rsidR="009C5853"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 ниво на транспарентност</w:t>
      </w:r>
    </w:p>
    <w:p w14:paraId="264E16FF" w14:textId="7D6BCB20" w:rsidR="009C5853" w:rsidRPr="009C5853" w:rsidRDefault="00234E02" w:rsidP="009C5853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>
        <w:rPr>
          <w:rFonts w:ascii="StobiSerif Regular" w:eastAsia="Times New Roman" w:hAnsi="StobiSerif Regular" w:cs="Times New Roman"/>
          <w:b/>
          <w:bCs/>
          <w:sz w:val="24"/>
          <w:szCs w:val="24"/>
          <w:lang w:val="mk-MK"/>
        </w:rPr>
        <w:t>5</w:t>
      </w:r>
      <w:r w:rsidR="009C5853"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 xml:space="preserve"> претпријатија</w:t>
      </w:r>
      <w:r w:rsidR="009C5853"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 со </w:t>
      </w:r>
      <w:r w:rsidR="009C5853"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ниско</w:t>
      </w:r>
      <w:r w:rsidR="009C5853"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 ниво</w:t>
      </w:r>
    </w:p>
    <w:p w14:paraId="1CD4F36E" w14:textId="1732C52E" w:rsidR="009C5853" w:rsidRPr="009C5853" w:rsidRDefault="00234E02" w:rsidP="009C5853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>
        <w:rPr>
          <w:rFonts w:ascii="StobiSerif Regular" w:eastAsia="Times New Roman" w:hAnsi="StobiSerif Regular" w:cs="Times New Roman"/>
          <w:b/>
          <w:bCs/>
          <w:sz w:val="24"/>
          <w:szCs w:val="24"/>
          <w:lang w:val="mk-MK"/>
        </w:rPr>
        <w:t>8</w:t>
      </w:r>
      <w:r w:rsidR="009C5853"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 xml:space="preserve"> претпријатија</w:t>
      </w:r>
      <w:r w:rsidR="009C5853"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 со </w:t>
      </w:r>
      <w:r w:rsidR="009C5853"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средно</w:t>
      </w:r>
      <w:r w:rsidR="009C5853"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 ниво</w:t>
      </w:r>
    </w:p>
    <w:p w14:paraId="308B7EAE" w14:textId="09D5E82B" w:rsidR="009C5853" w:rsidRPr="009C5853" w:rsidRDefault="00234E02" w:rsidP="009C5853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>
        <w:rPr>
          <w:rFonts w:ascii="StobiSerif Regular" w:eastAsia="Times New Roman" w:hAnsi="StobiSerif Regular" w:cs="Times New Roman"/>
          <w:b/>
          <w:bCs/>
          <w:sz w:val="24"/>
          <w:szCs w:val="24"/>
          <w:lang w:val="mk-MK"/>
        </w:rPr>
        <w:t>3</w:t>
      </w:r>
      <w:r w:rsidR="009C5853"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 xml:space="preserve"> претпријатија</w:t>
      </w:r>
      <w:r w:rsidR="009C5853"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 со </w:t>
      </w:r>
      <w:r w:rsidR="009C5853"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високо</w:t>
      </w:r>
      <w:r w:rsidR="009C5853"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 ниво</w:t>
      </w:r>
    </w:p>
    <w:p w14:paraId="7287AA21" w14:textId="77777777" w:rsidR="009C5853" w:rsidRPr="009C5853" w:rsidRDefault="009C5853" w:rsidP="009C5853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9C5853">
        <w:rPr>
          <w:rFonts w:ascii="StobiSerif Regular" w:eastAsia="Times New Roman" w:hAnsi="StobiSerif Regular" w:cs="Times New Roman"/>
          <w:sz w:val="24"/>
          <w:szCs w:val="24"/>
          <w:lang w:val="mk-MK"/>
        </w:rPr>
        <w:t xml:space="preserve">Преку мониторинг на веб страните на имателите констатирана е 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ниска транспарентност, но без значајна процентуална разлика меѓу </w:t>
      </w:r>
      <w:r w:rsidRPr="009C5853">
        <w:rPr>
          <w:rFonts w:ascii="StobiSerif Regular" w:eastAsia="Times New Roman" w:hAnsi="StobiSerif Regular" w:cs="Times New Roman"/>
          <w:sz w:val="24"/>
          <w:szCs w:val="24"/>
          <w:lang w:val="mk-MK"/>
        </w:rPr>
        <w:t>мониторираните иматели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>.</w:t>
      </w:r>
    </w:p>
    <w:p w14:paraId="5996BAC8" w14:textId="77777777" w:rsidR="009C5853" w:rsidRPr="009C5853" w:rsidRDefault="009C5853" w:rsidP="009C5853">
      <w:pPr>
        <w:spacing w:before="100" w:beforeAutospacing="1" w:after="100" w:afterAutospacing="1"/>
        <w:jc w:val="both"/>
        <w:outlineLvl w:val="3"/>
        <w:rPr>
          <w:rFonts w:ascii="StobiSerif Regular" w:eastAsia="Times New Roman" w:hAnsi="StobiSerif Regular" w:cs="Times New Roman"/>
          <w:b/>
          <w:bCs/>
          <w:sz w:val="24"/>
          <w:szCs w:val="24"/>
        </w:rPr>
      </w:pP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2023 година</w:t>
      </w:r>
    </w:p>
    <w:p w14:paraId="0688822C" w14:textId="77777777" w:rsidR="009C5853" w:rsidRPr="009C5853" w:rsidRDefault="009C5853" w:rsidP="009C5853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9C5853">
        <w:rPr>
          <w:rFonts w:ascii="StobiSerif Regular" w:eastAsia="Times New Roman" w:hAnsi="StobiSerif Regular" w:cs="Times New Roman"/>
          <w:sz w:val="24"/>
          <w:szCs w:val="24"/>
        </w:rPr>
        <w:t>Забележ</w:t>
      </w:r>
      <w:r w:rsidRPr="009C5853">
        <w:rPr>
          <w:rFonts w:ascii="StobiSerif Regular" w:eastAsia="Times New Roman" w:hAnsi="StobiSerif Regular" w:cs="Times New Roman"/>
          <w:sz w:val="24"/>
          <w:szCs w:val="24"/>
          <w:lang w:val="mk-MK"/>
        </w:rPr>
        <w:t>лив е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 пораст на 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средното ниво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 на транспарентност.</w:t>
      </w:r>
    </w:p>
    <w:p w14:paraId="3DF67A99" w14:textId="77777777" w:rsidR="009C5853" w:rsidRPr="009C5853" w:rsidRDefault="009C5853" w:rsidP="009C5853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Високото ниво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 бележи 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незначителен пад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>.</w:t>
      </w:r>
    </w:p>
    <w:p w14:paraId="33CA044B" w14:textId="77777777" w:rsidR="009C5853" w:rsidRPr="009C5853" w:rsidRDefault="009C5853" w:rsidP="009C5853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Ниската транспарентност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 останува доминантна кај дел од имателите.</w:t>
      </w:r>
    </w:p>
    <w:p w14:paraId="68137A60" w14:textId="77777777" w:rsidR="009C5853" w:rsidRPr="009C5853" w:rsidRDefault="009C5853" w:rsidP="009C5853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Конкретни </w:t>
      </w:r>
      <w:r w:rsidRPr="009C5853">
        <w:rPr>
          <w:rFonts w:ascii="StobiSerif Regular" w:eastAsia="Times New Roman" w:hAnsi="StobiSerif Regular" w:cs="Times New Roman"/>
          <w:sz w:val="24"/>
          <w:szCs w:val="24"/>
          <w:lang w:val="mk-MK"/>
        </w:rPr>
        <w:t>показатели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>:</w:t>
      </w:r>
    </w:p>
    <w:p w14:paraId="4E4A9981" w14:textId="77777777" w:rsidR="009C5853" w:rsidRPr="009C5853" w:rsidRDefault="009C5853" w:rsidP="009C5853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2 претпријатија ја задржале 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високата транспарентност</w:t>
      </w:r>
    </w:p>
    <w:p w14:paraId="1EEFC188" w14:textId="77777777" w:rsidR="009C5853" w:rsidRPr="009C5853" w:rsidRDefault="009C5853" w:rsidP="009C5853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6 претпријатија останале со 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средно ниво</w:t>
      </w:r>
    </w:p>
    <w:p w14:paraId="6EE045CF" w14:textId="77777777" w:rsidR="009C5853" w:rsidRPr="009C5853" w:rsidRDefault="009C5853" w:rsidP="009C5853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1 претпријатие останало со 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ниско ниво</w:t>
      </w:r>
    </w:p>
    <w:p w14:paraId="2CE31A60" w14:textId="77777777" w:rsidR="009C5853" w:rsidRPr="009C5853" w:rsidRDefault="009C5853" w:rsidP="009C5853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1 претпријатие се вратило од 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високо на ниско ниво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, а друго од 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високо на средно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  <w:lang w:val="mk-MK"/>
        </w:rPr>
        <w:t xml:space="preserve"> ниво на транспарентост</w:t>
      </w:r>
    </w:p>
    <w:p w14:paraId="1F77983D" w14:textId="77777777" w:rsidR="009C5853" w:rsidRPr="009C5853" w:rsidRDefault="009C5853" w:rsidP="009C5853">
      <w:pPr>
        <w:spacing w:before="100" w:beforeAutospacing="1" w:after="100" w:afterAutospacing="1"/>
        <w:jc w:val="both"/>
        <w:outlineLvl w:val="3"/>
        <w:rPr>
          <w:rFonts w:ascii="StobiSerif Regular" w:eastAsia="Times New Roman" w:hAnsi="StobiSerif Regular" w:cs="Times New Roman"/>
          <w:b/>
          <w:bCs/>
          <w:sz w:val="24"/>
          <w:szCs w:val="24"/>
        </w:rPr>
      </w:pP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lastRenderedPageBreak/>
        <w:t>2025 година</w:t>
      </w:r>
    </w:p>
    <w:p w14:paraId="4A181AF3" w14:textId="77777777" w:rsidR="009C5853" w:rsidRPr="009C5853" w:rsidRDefault="009C5853" w:rsidP="009C5853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Општото ниво </w:t>
      </w:r>
      <w:r w:rsidRPr="009C5853">
        <w:rPr>
          <w:rFonts w:ascii="StobiSerif Regular" w:eastAsia="Times New Roman" w:hAnsi="StobiSerif Regular" w:cs="Times New Roman"/>
          <w:sz w:val="24"/>
          <w:szCs w:val="24"/>
          <w:lang w:val="mk-MK"/>
        </w:rPr>
        <w:t xml:space="preserve">на мониторираните иматели 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се движи кон 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средн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  <w:lang w:val="mk-MK"/>
        </w:rPr>
        <w:t xml:space="preserve">о ниво на 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транспарентност</w:t>
      </w:r>
    </w:p>
    <w:p w14:paraId="19CEBE5C" w14:textId="77777777" w:rsidR="009C5853" w:rsidRPr="009C5853" w:rsidRDefault="009C5853" w:rsidP="009C5853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4 претпријатија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 остануваат со 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ниско ниво</w:t>
      </w:r>
    </w:p>
    <w:p w14:paraId="2B69A059" w14:textId="77777777" w:rsidR="009C5853" w:rsidRPr="009C5853" w:rsidRDefault="009C5853" w:rsidP="009C5853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1 претпријатие ја 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намалило транспарентноста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 (недостиг на објавени информации од јавен </w:t>
      </w:r>
      <w:r w:rsidRPr="009C5853">
        <w:rPr>
          <w:rFonts w:ascii="StobiSerif Regular" w:eastAsia="Times New Roman" w:hAnsi="StobiSerif Regular" w:cs="Times New Roman"/>
          <w:sz w:val="24"/>
          <w:szCs w:val="24"/>
          <w:lang w:val="mk-MK"/>
        </w:rPr>
        <w:t>карактер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 на веб-страницата)</w:t>
      </w:r>
    </w:p>
    <w:p w14:paraId="0E393068" w14:textId="77777777" w:rsidR="009C5853" w:rsidRPr="009C5853" w:rsidRDefault="009C5853" w:rsidP="009C5853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1 претпријатие 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три години по ред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 одржува 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највисоко ниво на транспарентност</w:t>
      </w:r>
    </w:p>
    <w:p w14:paraId="4302B07E" w14:textId="77777777" w:rsidR="009C5853" w:rsidRPr="009C5853" w:rsidRDefault="009C5853" w:rsidP="009C5853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1 претпријатие направило 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 xml:space="preserve">премин од ниско 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  <w:lang w:val="mk-MK"/>
        </w:rPr>
        <w:t>во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 xml:space="preserve"> високо ниво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  <w:lang w:val="mk-MK"/>
        </w:rPr>
        <w:t xml:space="preserve"> и тоа 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две години по ред</w:t>
      </w:r>
    </w:p>
    <w:p w14:paraId="593999C7" w14:textId="77777777" w:rsidR="009C5853" w:rsidRPr="009C5853" w:rsidRDefault="009C5853" w:rsidP="009C5853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9C5853">
        <w:rPr>
          <w:rFonts w:ascii="StobiSerif Regular" w:eastAsia="Times New Roman" w:hAnsi="StobiSerif Regular" w:cs="Times New Roman"/>
          <w:sz w:val="24"/>
          <w:szCs w:val="24"/>
          <w:lang w:val="mk-MK"/>
        </w:rPr>
        <w:t>2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 претпријат</w:t>
      </w:r>
      <w:r w:rsidRPr="009C5853">
        <w:rPr>
          <w:rFonts w:ascii="StobiSerif Regular" w:eastAsia="Times New Roman" w:hAnsi="StobiSerif Regular" w:cs="Times New Roman"/>
          <w:sz w:val="24"/>
          <w:szCs w:val="24"/>
          <w:lang w:val="mk-MK"/>
        </w:rPr>
        <w:t>ија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 останува</w:t>
      </w:r>
      <w:r w:rsidRPr="009C5853">
        <w:rPr>
          <w:rFonts w:ascii="StobiSerif Regular" w:eastAsia="Times New Roman" w:hAnsi="StobiSerif Regular" w:cs="Times New Roman"/>
          <w:sz w:val="24"/>
          <w:szCs w:val="24"/>
          <w:lang w:val="mk-MK"/>
        </w:rPr>
        <w:t>ат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втора година по ред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 со 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ниско ниво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  <w:lang w:val="mk-MK"/>
        </w:rPr>
        <w:t xml:space="preserve"> на транспарентност</w:t>
      </w:r>
    </w:p>
    <w:p w14:paraId="11CD567D" w14:textId="77777777" w:rsidR="009C5853" w:rsidRPr="009C5853" w:rsidRDefault="009C5853" w:rsidP="009C5853">
      <w:pPr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9C5853">
        <w:rPr>
          <w:rFonts w:ascii="StobiSerif Regular" w:hAnsi="StobiSerif Regular"/>
          <w:noProof/>
          <w:sz w:val="24"/>
          <w:szCs w:val="24"/>
          <w:lang w:val="mk-MK" w:eastAsia="mk-MK"/>
        </w:rPr>
        <w:drawing>
          <wp:inline distT="0" distB="0" distL="0" distR="0" wp14:anchorId="35C48890" wp14:editId="013D9132">
            <wp:extent cx="5734050" cy="3562350"/>
            <wp:effectExtent l="0" t="0" r="0" b="0"/>
            <wp:docPr id="167013137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D7BC22B" w14:textId="77777777" w:rsidR="009C5853" w:rsidRPr="009C5853" w:rsidRDefault="009C5853" w:rsidP="009C5853">
      <w:pPr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b/>
          <w:bCs/>
          <w:sz w:val="24"/>
          <w:szCs w:val="24"/>
          <w:lang w:val="mk-MK"/>
        </w:rPr>
      </w:pPr>
      <w:r w:rsidRPr="009C5853">
        <w:rPr>
          <w:rFonts w:ascii="StobiSerif Regular" w:hAnsi="StobiSerif Regular"/>
          <w:sz w:val="24"/>
          <w:szCs w:val="24"/>
        </w:rPr>
        <w:t>На графичкиот приказ може да се забележи дека сите овие осцилации во работата на институциите се пресликуваат во процентуален скок на индексот на транспарентност и отчетност.   Голема разлика се забележува кај имателите со ниско ниво на транспарентност. Само четири иматели  сите три годи</w:t>
      </w:r>
      <w:r w:rsidRPr="009C5853">
        <w:rPr>
          <w:rFonts w:ascii="StobiSerif Regular" w:hAnsi="StobiSerif Regular"/>
          <w:sz w:val="24"/>
          <w:szCs w:val="24"/>
          <w:lang w:val="mk-MK"/>
        </w:rPr>
        <w:t>ни</w:t>
      </w:r>
      <w:r w:rsidRPr="009C5853">
        <w:rPr>
          <w:rFonts w:ascii="StobiSerif Regular" w:hAnsi="StobiSerif Regular"/>
          <w:sz w:val="24"/>
          <w:szCs w:val="24"/>
        </w:rPr>
        <w:t xml:space="preserve"> се со ниска транспарентност, додека останатите иматели останале со средно и ниско ниво на транспарентост. Анализата покажува дека имателите треба да вложат повеќе во објавувањето на информациите на своите веб страници, со што ќе покажат отчетност во своето работење, а на тој начин својата работа ќе ја доближат до своите крајни корисници, односно до граѓаните.</w:t>
      </w:r>
    </w:p>
    <w:p w14:paraId="5FD4AD68" w14:textId="77777777" w:rsidR="009C5853" w:rsidRPr="009C5853" w:rsidRDefault="009C5853" w:rsidP="009C5853">
      <w:pPr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  <w:lang w:val="mk-MK"/>
        </w:rPr>
      </w:pPr>
      <w:r w:rsidRPr="009C5853">
        <w:rPr>
          <w:rFonts w:ascii="StobiSerif Regular" w:eastAsia="Times New Roman" w:hAnsi="StobiSerif Regular" w:cs="Times New Roman"/>
          <w:sz w:val="24"/>
          <w:szCs w:val="24"/>
          <w:lang w:val="mk-MK"/>
        </w:rPr>
        <w:lastRenderedPageBreak/>
        <w:t>Н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>едостиг</w:t>
      </w:r>
      <w:r w:rsidRPr="009C5853">
        <w:rPr>
          <w:rFonts w:ascii="StobiSerif Regular" w:eastAsia="Times New Roman" w:hAnsi="StobiSerif Regular" w:cs="Times New Roman"/>
          <w:sz w:val="24"/>
          <w:szCs w:val="24"/>
          <w:lang w:val="mk-MK"/>
        </w:rPr>
        <w:t>от на објавени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 информации на веб-страниците (како: извештаи за работа, буџети, јавни набавки, акти и одлуки)</w:t>
      </w:r>
      <w:r w:rsidRPr="009C5853">
        <w:rPr>
          <w:rFonts w:ascii="StobiSerif Regular" w:eastAsia="Times New Roman" w:hAnsi="StobiSerif Regular" w:cs="Times New Roman"/>
          <w:sz w:val="24"/>
          <w:szCs w:val="24"/>
          <w:lang w:val="mk-MK"/>
        </w:rPr>
        <w:t xml:space="preserve">, 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  <w:lang w:val="mk-MK"/>
        </w:rPr>
        <w:t>н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едоволна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  <w:lang w:val="mk-MK"/>
        </w:rPr>
        <w:t>та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 xml:space="preserve"> 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>или слаба ИКТ поддршка</w:t>
      </w:r>
      <w:r w:rsidRPr="009C5853">
        <w:rPr>
          <w:rFonts w:ascii="StobiSerif Regular" w:eastAsia="Times New Roman" w:hAnsi="StobiSerif Regular" w:cs="Times New Roman"/>
          <w:sz w:val="24"/>
          <w:szCs w:val="24"/>
          <w:lang w:val="mk-MK"/>
        </w:rPr>
        <w:t xml:space="preserve">, како и 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  <w:lang w:val="mk-MK"/>
        </w:rPr>
        <w:t>н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епостоечка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  <w:lang w:val="mk-MK"/>
        </w:rPr>
        <w:t xml:space="preserve">та 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институционализирана пракса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 за објавување </w:t>
      </w:r>
      <w:r w:rsidRPr="009C5853">
        <w:rPr>
          <w:rFonts w:ascii="StobiSerif Regular" w:eastAsia="Times New Roman" w:hAnsi="StobiSerif Regular" w:cs="Times New Roman"/>
          <w:sz w:val="24"/>
          <w:szCs w:val="24"/>
          <w:lang w:val="mk-MK"/>
        </w:rPr>
        <w:t>на информациите од јавен карактер се главните причини за недоволната активна транспареност на јавните претпријатија во надлежност на единиците на локалната самоуправа.</w:t>
      </w:r>
    </w:p>
    <w:p w14:paraId="7D0D5B0D" w14:textId="77777777" w:rsidR="009C5853" w:rsidRPr="009C5853" w:rsidRDefault="009C5853" w:rsidP="009C5853">
      <w:pPr>
        <w:spacing w:before="100" w:beforeAutospacing="1" w:after="100" w:afterAutospacing="1"/>
        <w:jc w:val="both"/>
        <w:outlineLvl w:val="2"/>
        <w:rPr>
          <w:rFonts w:ascii="StobiSerif Regular" w:eastAsia="Times New Roman" w:hAnsi="StobiSerif Regular" w:cs="Times New Roman"/>
          <w:b/>
          <w:bCs/>
          <w:sz w:val="24"/>
          <w:szCs w:val="24"/>
        </w:rPr>
      </w:pP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Препораки за подобрување</w:t>
      </w:r>
    </w:p>
    <w:p w14:paraId="046AEDA0" w14:textId="78D9B242" w:rsidR="009C5853" w:rsidRPr="009C5853" w:rsidRDefault="009C5853" w:rsidP="009C5853">
      <w:pPr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  <w:lang w:val="mk-MK"/>
        </w:rPr>
      </w:pP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Институционализирање на транспарентноста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>: Воведување на внатрешни процедури и одговорни лица за редовно ажурирање на веб-страниците.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br/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Техничка и едукативна поддршка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 за вработените – </w:t>
      </w:r>
      <w:r w:rsidRPr="009C5853">
        <w:rPr>
          <w:rFonts w:ascii="StobiSerif Regular" w:eastAsia="Times New Roman" w:hAnsi="StobiSerif Regular" w:cs="Times New Roman"/>
          <w:sz w:val="24"/>
          <w:szCs w:val="24"/>
          <w:lang w:val="mk-MK"/>
        </w:rPr>
        <w:t>обуки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 за управување со веб-содржини </w:t>
      </w:r>
      <w:r w:rsidR="00DF10FE">
        <w:rPr>
          <w:rFonts w:ascii="StobiSerif Regular" w:eastAsia="Times New Roman" w:hAnsi="StobiSerif Regular" w:cs="Times New Roman"/>
          <w:sz w:val="24"/>
          <w:szCs w:val="24"/>
          <w:lang w:val="mk-MK"/>
        </w:rPr>
        <w:t>и објавување на информации согласно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 законски</w:t>
      </w:r>
      <w:r w:rsidR="00DF10FE">
        <w:rPr>
          <w:rFonts w:ascii="StobiSerif Regular" w:eastAsia="Times New Roman" w:hAnsi="StobiSerif Regular" w:cs="Times New Roman"/>
          <w:sz w:val="24"/>
          <w:szCs w:val="24"/>
          <w:lang w:val="mk-MK"/>
        </w:rPr>
        <w:t>те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 обврски.</w:t>
      </w:r>
    </w:p>
    <w:p w14:paraId="152AB5D2" w14:textId="77777777" w:rsidR="009C5853" w:rsidRPr="009C5853" w:rsidRDefault="009C5853" w:rsidP="009C5853">
      <w:pPr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  <w:lang w:val="mk-MK"/>
        </w:rPr>
      </w:pP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Вклучување на јавноста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>: Креирање механизми за повратна информација од граѓаните и мониторинг од граѓански организации.</w:t>
      </w:r>
    </w:p>
    <w:p w14:paraId="228DF097" w14:textId="77777777" w:rsidR="009C5853" w:rsidRPr="009C5853" w:rsidRDefault="009C5853" w:rsidP="009C5853">
      <w:pPr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  <w:lang w:val="mk-MK"/>
        </w:rPr>
      </w:pPr>
      <w:r w:rsidRPr="009C5853">
        <w:rPr>
          <w:rFonts w:ascii="StobiSerif Regular" w:eastAsia="Times New Roman" w:hAnsi="StobiSerif Regular" w:cs="Times New Roman"/>
          <w:sz w:val="24"/>
          <w:szCs w:val="24"/>
          <w:lang w:val="mk-MK"/>
        </w:rPr>
        <w:t>Сите овие препораки ќе доведат до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  <w:lang w:val="mk-MK"/>
        </w:rPr>
        <w:t xml:space="preserve"> </w:t>
      </w:r>
      <w:r w:rsidRPr="009C5853">
        <w:rPr>
          <w:rFonts w:ascii="StobiSerif Regular" w:eastAsia="Times New Roman" w:hAnsi="StobiSerif Regular" w:cs="Times New Roman"/>
          <w:sz w:val="24"/>
          <w:szCs w:val="24"/>
          <w:lang w:val="mk-MK"/>
        </w:rPr>
        <w:t>п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>оврзување на нивото на</w:t>
      </w:r>
      <w:r w:rsidRPr="009C5853">
        <w:rPr>
          <w:rFonts w:ascii="StobiSerif Regular" w:eastAsia="Times New Roman" w:hAnsi="StobiSerif Regular" w:cs="Times New Roman"/>
          <w:sz w:val="24"/>
          <w:szCs w:val="24"/>
          <w:lang w:val="mk-MK"/>
        </w:rPr>
        <w:t xml:space="preserve"> активната 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>транспарентност со други мерки за отчетност и ефикасност.</w:t>
      </w:r>
    </w:p>
    <w:p w14:paraId="3A538648" w14:textId="77777777" w:rsidR="009C5853" w:rsidRPr="009C5853" w:rsidRDefault="009C5853" w:rsidP="009C5853">
      <w:pPr>
        <w:spacing w:before="100" w:beforeAutospacing="1" w:after="100" w:afterAutospacing="1"/>
        <w:jc w:val="both"/>
        <w:outlineLvl w:val="2"/>
        <w:rPr>
          <w:rFonts w:ascii="StobiSerif Regular" w:eastAsia="Times New Roman" w:hAnsi="StobiSerif Regular" w:cs="Times New Roman"/>
          <w:b/>
          <w:bCs/>
          <w:sz w:val="24"/>
          <w:szCs w:val="24"/>
        </w:rPr>
      </w:pP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Заклучок</w:t>
      </w:r>
    </w:p>
    <w:p w14:paraId="31533F31" w14:textId="77777777" w:rsidR="009C5853" w:rsidRPr="009C5853" w:rsidRDefault="009C5853" w:rsidP="009C5853">
      <w:pPr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Иако има позитивни поместувања во целина, напредокот </w:t>
      </w:r>
      <w:r w:rsidRPr="009C5853">
        <w:rPr>
          <w:rFonts w:ascii="StobiSerif Regular" w:eastAsia="Times New Roman" w:hAnsi="StobiSerif Regular" w:cs="Times New Roman"/>
          <w:sz w:val="24"/>
          <w:szCs w:val="24"/>
          <w:lang w:val="mk-MK"/>
        </w:rPr>
        <w:t xml:space="preserve">на активната транспарентност 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е 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неконзистентен и фрагментиран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. Потребен е 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поинтезивен институционален пристап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 кон транспарентноста, со фокус на одржливост, систематичност и отчетност. </w:t>
      </w:r>
      <w:r w:rsidRPr="009C5853">
        <w:rPr>
          <w:rFonts w:ascii="StobiSerif Regular" w:eastAsia="Times New Roman" w:hAnsi="StobiSerif Regular" w:cs="Times New Roman"/>
          <w:sz w:val="24"/>
          <w:szCs w:val="24"/>
          <w:lang w:val="mk-MK"/>
        </w:rPr>
        <w:t>Јавните п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 xml:space="preserve">ретпријатијата треба да ја препознаат транспарентноста како </w:t>
      </w:r>
      <w:r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стратешка компонента за доверба и ефикасност</w:t>
      </w:r>
      <w:r w:rsidRPr="009C5853">
        <w:rPr>
          <w:rFonts w:ascii="StobiSerif Regular" w:eastAsia="Times New Roman" w:hAnsi="StobiSerif Regular" w:cs="Times New Roman"/>
          <w:sz w:val="24"/>
          <w:szCs w:val="24"/>
        </w:rPr>
        <w:t>, а не само како формална обврска.</w:t>
      </w:r>
    </w:p>
    <w:p w14:paraId="61ABF5C5" w14:textId="77777777" w:rsidR="009C5853" w:rsidRPr="009C5853" w:rsidRDefault="009C5853" w:rsidP="009C5853">
      <w:pPr>
        <w:spacing w:before="100" w:beforeAutospacing="1" w:after="100" w:afterAutospacing="1"/>
        <w:jc w:val="both"/>
        <w:rPr>
          <w:rFonts w:ascii="StobiSerif Regular" w:hAnsi="StobiSerif Regular"/>
          <w:sz w:val="24"/>
          <w:szCs w:val="24"/>
          <w:lang w:val="mk-MK"/>
        </w:rPr>
      </w:pPr>
    </w:p>
    <w:p w14:paraId="1D005E89" w14:textId="77777777" w:rsidR="009C5853" w:rsidRPr="009C5853" w:rsidRDefault="009C5853" w:rsidP="009C5853">
      <w:pPr>
        <w:spacing w:before="100" w:beforeAutospacing="1" w:after="100" w:afterAutospacing="1"/>
        <w:jc w:val="both"/>
        <w:rPr>
          <w:rFonts w:ascii="StobiSerif Regular" w:hAnsi="StobiSerif Regular"/>
          <w:b/>
          <w:bCs/>
          <w:lang w:val="mk-MK"/>
        </w:rPr>
      </w:pPr>
      <w:r w:rsidRPr="009C5853">
        <w:rPr>
          <w:rFonts w:ascii="StobiSerif Regular" w:hAnsi="StobiSerif Regular"/>
          <w:b/>
          <w:bCs/>
          <w:lang w:val="mk-MK"/>
        </w:rPr>
        <w:t>Автори:</w:t>
      </w:r>
    </w:p>
    <w:p w14:paraId="32376AB0" w14:textId="77777777" w:rsidR="009C5853" w:rsidRPr="009C5853" w:rsidRDefault="009C5853" w:rsidP="009C5853">
      <w:pPr>
        <w:spacing w:before="100" w:beforeAutospacing="1" w:after="100" w:afterAutospacing="1"/>
        <w:jc w:val="both"/>
        <w:rPr>
          <w:rFonts w:ascii="StobiSerif Regular" w:hAnsi="StobiSerif Regular"/>
          <w:b/>
          <w:bCs/>
          <w:lang w:val="mk-MK"/>
        </w:rPr>
      </w:pPr>
      <w:r w:rsidRPr="009C5853">
        <w:rPr>
          <w:rFonts w:ascii="StobiSerif Regular" w:hAnsi="StobiSerif Regular"/>
          <w:b/>
          <w:bCs/>
          <w:lang w:val="mk-MK"/>
        </w:rPr>
        <w:t>Мелани Ибраими</w:t>
      </w:r>
    </w:p>
    <w:p w14:paraId="1304AF44" w14:textId="77777777" w:rsidR="009C5853" w:rsidRPr="009C5853" w:rsidRDefault="009C5853" w:rsidP="009C5853">
      <w:pPr>
        <w:spacing w:before="100" w:beforeAutospacing="1" w:after="100" w:afterAutospacing="1"/>
        <w:jc w:val="both"/>
        <w:rPr>
          <w:rFonts w:ascii="StobiSerif Regular" w:hAnsi="StobiSerif Regular"/>
          <w:lang w:val="mk-MK"/>
        </w:rPr>
      </w:pPr>
      <w:r w:rsidRPr="009C5853">
        <w:rPr>
          <w:rFonts w:ascii="StobiSerif Regular" w:hAnsi="StobiSerif Regular"/>
          <w:b/>
          <w:bCs/>
          <w:lang w:val="mk-MK"/>
        </w:rPr>
        <w:t>Оливер Серафимовски</w:t>
      </w:r>
    </w:p>
    <w:p w14:paraId="6F5EE82B" w14:textId="77777777" w:rsidR="009C5853" w:rsidRPr="009C5853" w:rsidRDefault="009C5853" w:rsidP="009C5853">
      <w:pPr>
        <w:jc w:val="both"/>
        <w:rPr>
          <w:rFonts w:ascii="StobiSerif Regular" w:hAnsi="StobiSerif Regular"/>
          <w:sz w:val="24"/>
          <w:szCs w:val="24"/>
          <w:lang w:val="mk-MK"/>
        </w:rPr>
      </w:pPr>
    </w:p>
    <w:sectPr w:rsidR="009C5853" w:rsidRPr="009C5853" w:rsidSect="009C5853">
      <w:foot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8670" w14:textId="77777777" w:rsidR="000F6AD3" w:rsidRDefault="000F6AD3" w:rsidP="009C5853">
      <w:r>
        <w:separator/>
      </w:r>
    </w:p>
  </w:endnote>
  <w:endnote w:type="continuationSeparator" w:id="0">
    <w:p w14:paraId="5CA01250" w14:textId="77777777" w:rsidR="000F6AD3" w:rsidRDefault="000F6AD3" w:rsidP="009C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3053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207BB6" w14:textId="1033DFA2" w:rsidR="009C5853" w:rsidRDefault="009C58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5984FF" w14:textId="77777777" w:rsidR="009C5853" w:rsidRDefault="009C5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7A518" w14:textId="77777777" w:rsidR="000F6AD3" w:rsidRDefault="000F6AD3" w:rsidP="009C5853">
      <w:r>
        <w:separator/>
      </w:r>
    </w:p>
  </w:footnote>
  <w:footnote w:type="continuationSeparator" w:id="0">
    <w:p w14:paraId="25871385" w14:textId="77777777" w:rsidR="000F6AD3" w:rsidRDefault="000F6AD3" w:rsidP="009C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A1567"/>
    <w:multiLevelType w:val="multilevel"/>
    <w:tmpl w:val="810C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E5D4A"/>
    <w:multiLevelType w:val="multilevel"/>
    <w:tmpl w:val="5CA2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B7DBA"/>
    <w:multiLevelType w:val="multilevel"/>
    <w:tmpl w:val="55C0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3373745">
    <w:abstractNumId w:val="0"/>
  </w:num>
  <w:num w:numId="2" w16cid:durableId="1613707188">
    <w:abstractNumId w:val="2"/>
  </w:num>
  <w:num w:numId="3" w16cid:durableId="713776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53"/>
    <w:rsid w:val="000F6AD3"/>
    <w:rsid w:val="001E7998"/>
    <w:rsid w:val="00234E02"/>
    <w:rsid w:val="007C2042"/>
    <w:rsid w:val="009007FB"/>
    <w:rsid w:val="009C5853"/>
    <w:rsid w:val="00B9520B"/>
    <w:rsid w:val="00CC3C38"/>
    <w:rsid w:val="00D943A3"/>
    <w:rsid w:val="00DF10FE"/>
    <w:rsid w:val="00F71397"/>
    <w:rsid w:val="00F7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C0B5"/>
  <w15:chartTrackingRefBased/>
  <w15:docId w15:val="{59B4273A-5F01-4A94-AFC1-04146732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tobiSerif Regular" w:eastAsiaTheme="minorHAnsi" w:hAnsi="StobiSerif Regular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8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C5853"/>
  </w:style>
  <w:style w:type="character" w:customStyle="1" w:styleId="BodyTextChar">
    <w:name w:val="Body Text Char"/>
    <w:basedOn w:val="DefaultParagraphFont"/>
    <w:link w:val="BodyText"/>
    <w:uiPriority w:val="1"/>
    <w:rsid w:val="009C5853"/>
    <w:rPr>
      <w:rFonts w:ascii="Calibri" w:eastAsia="Calibri" w:hAnsi="Calibri" w:cs="Calibri"/>
      <w:sz w:val="22"/>
      <w:szCs w:val="22"/>
      <w:lang w:val="bg-BG"/>
    </w:rPr>
  </w:style>
  <w:style w:type="paragraph" w:styleId="Title">
    <w:name w:val="Title"/>
    <w:basedOn w:val="Normal"/>
    <w:link w:val="TitleChar"/>
    <w:uiPriority w:val="10"/>
    <w:qFormat/>
    <w:rsid w:val="009C5853"/>
    <w:pPr>
      <w:ind w:left="19" w:right="22"/>
      <w:jc w:val="center"/>
    </w:pPr>
    <w:rPr>
      <w:rFonts w:ascii="Arial" w:eastAsia="Arial" w:hAnsi="Arial" w:cs="Arial"/>
      <w:b/>
      <w:bCs/>
      <w:i/>
      <w:i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C5853"/>
    <w:rPr>
      <w:rFonts w:ascii="Arial" w:eastAsia="Arial" w:hAnsi="Arial" w:cs="Arial"/>
      <w:b/>
      <w:bCs/>
      <w:i/>
      <w:iCs/>
      <w:sz w:val="44"/>
      <w:szCs w:val="4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9C58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853"/>
    <w:rPr>
      <w:rFonts w:ascii="Calibri" w:eastAsia="Calibri" w:hAnsi="Calibri" w:cs="Calibri"/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C58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853"/>
    <w:rPr>
      <w:rFonts w:ascii="Calibri" w:eastAsia="Calibri" w:hAnsi="Calibri" w:cs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D:\aspi\monitoring\jp%20i%20ad\2025%20godina\Book2123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tx1"/>
                </a:solidFill>
                <a:latin typeface="+mj-lt"/>
                <a:ea typeface="+mj-ea"/>
                <a:cs typeface="+mj-cs"/>
              </a:defRPr>
            </a:pPr>
            <a:r>
              <a:rPr lang="mk-MK" sz="1600" b="1">
                <a:solidFill>
                  <a:schemeClr val="tx1"/>
                </a:solidFill>
              </a:rPr>
              <a:t>Ниво на Активна Транспарентност </a:t>
            </a:r>
          </a:p>
          <a:p>
            <a:pPr>
              <a:defRPr sz="1600" b="1">
                <a:solidFill>
                  <a:schemeClr val="tx1"/>
                </a:solidFill>
              </a:defRPr>
            </a:pPr>
            <a:r>
              <a:rPr lang="mk-MK" sz="1600" b="1">
                <a:solidFill>
                  <a:schemeClr val="tx1"/>
                </a:solidFill>
              </a:rPr>
              <a:t> </a:t>
            </a:r>
            <a:endParaRPr lang="en-US" sz="1600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tx1"/>
              </a:solidFill>
              <a:latin typeface="+mj-lt"/>
              <a:ea typeface="+mj-ea"/>
              <a:cs typeface="+mj-cs"/>
            </a:defRPr>
          </a:pPr>
          <a:endParaRPr lang="mk-MK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[Book212325.xlsx]Sheet1!$A$3</c:f>
              <c:strCache>
                <c:ptCount val="1"/>
                <c:pt idx="0">
                  <c:v>2021</c:v>
                </c:pt>
              </c:strCache>
            </c:strRef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[Book212325.xlsx]Sheet1!$B$2:$E$2</c:f>
              <c:strCache>
                <c:ptCount val="4"/>
                <c:pt idx="0">
                  <c:v>многу ниско</c:v>
                </c:pt>
                <c:pt idx="1">
                  <c:v>ниско</c:v>
                </c:pt>
                <c:pt idx="2">
                  <c:v>средно</c:v>
                </c:pt>
                <c:pt idx="3">
                  <c:v>високо</c:v>
                </c:pt>
              </c:strCache>
            </c:strRef>
          </c:cat>
          <c:val>
            <c:numRef>
              <c:f>[Book212325.xlsx]Sheet1!$B$3:$E$3</c:f>
              <c:numCache>
                <c:formatCode>General</c:formatCode>
                <c:ptCount val="4"/>
                <c:pt idx="0">
                  <c:v>7</c:v>
                </c:pt>
                <c:pt idx="1">
                  <c:v>3</c:v>
                </c:pt>
                <c:pt idx="2">
                  <c:v>7</c:v>
                </c:pt>
                <c:pt idx="3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113-4433-B5AA-94EC8558577B}"/>
            </c:ext>
          </c:extLst>
        </c:ser>
        <c:ser>
          <c:idx val="1"/>
          <c:order val="1"/>
          <c:tx>
            <c:strRef>
              <c:f>[Book212325.xlsx]Sheet1!$A$4</c:f>
              <c:strCache>
                <c:ptCount val="1"/>
                <c:pt idx="0">
                  <c:v>2023</c:v>
                </c:pt>
              </c:strCache>
            </c:strRef>
          </c:tx>
          <c:spPr>
            <a:ln w="381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[Book212325.xlsx]Sheet1!$B$2:$E$2</c:f>
              <c:strCache>
                <c:ptCount val="4"/>
                <c:pt idx="0">
                  <c:v>многу ниско</c:v>
                </c:pt>
                <c:pt idx="1">
                  <c:v>ниско</c:v>
                </c:pt>
                <c:pt idx="2">
                  <c:v>средно</c:v>
                </c:pt>
                <c:pt idx="3">
                  <c:v>високо</c:v>
                </c:pt>
              </c:strCache>
            </c:strRef>
          </c:cat>
          <c:val>
            <c:numRef>
              <c:f>[Book212325.xlsx]Sheet1!$B$4:$E$4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12</c:v>
                </c:pt>
                <c:pt idx="3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113-4433-B5AA-94EC8558577B}"/>
            </c:ext>
          </c:extLst>
        </c:ser>
        <c:ser>
          <c:idx val="2"/>
          <c:order val="2"/>
          <c:tx>
            <c:strRef>
              <c:f>[Book212325.xlsx]Sheet1!$A$5</c:f>
              <c:strCache>
                <c:ptCount val="1"/>
                <c:pt idx="0">
                  <c:v>2025</c:v>
                </c:pt>
              </c:strCache>
            </c:strRef>
          </c:tx>
          <c:spPr>
            <a:ln w="38100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strRef>
              <c:f>[Book212325.xlsx]Sheet1!$B$2:$E$2</c:f>
              <c:strCache>
                <c:ptCount val="4"/>
                <c:pt idx="0">
                  <c:v>многу ниско</c:v>
                </c:pt>
                <c:pt idx="1">
                  <c:v>ниско</c:v>
                </c:pt>
                <c:pt idx="2">
                  <c:v>средно</c:v>
                </c:pt>
                <c:pt idx="3">
                  <c:v>високо</c:v>
                </c:pt>
              </c:strCache>
            </c:strRef>
          </c:cat>
          <c:val>
            <c:numRef>
              <c:f>[Book212325.xlsx]Sheet1!$B$5:$E$5</c:f>
              <c:numCache>
                <c:formatCode>General</c:formatCode>
                <c:ptCount val="4"/>
                <c:pt idx="0">
                  <c:v>0</c:v>
                </c:pt>
                <c:pt idx="1">
                  <c:v>12</c:v>
                </c:pt>
                <c:pt idx="2">
                  <c:v>25</c:v>
                </c:pt>
                <c:pt idx="3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113-4433-B5AA-94EC855857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62280591"/>
        <c:axId val="1609185215"/>
      </c:lineChart>
      <c:catAx>
        <c:axId val="1562280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mk-MK"/>
          </a:p>
        </c:txPr>
        <c:crossAx val="1609185215"/>
        <c:crosses val="autoZero"/>
        <c:auto val="1"/>
        <c:lblAlgn val="ctr"/>
        <c:lblOffset val="100"/>
        <c:noMultiLvlLbl val="0"/>
      </c:catAx>
      <c:valAx>
        <c:axId val="1609185215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crossAx val="1562280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mk-M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mk-MK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</dc:creator>
  <cp:keywords/>
  <dc:description/>
  <cp:lastModifiedBy>oliver</cp:lastModifiedBy>
  <cp:revision>6</cp:revision>
  <dcterms:created xsi:type="dcterms:W3CDTF">2025-04-25T11:52:00Z</dcterms:created>
  <dcterms:modified xsi:type="dcterms:W3CDTF">2025-04-28T07:13:00Z</dcterms:modified>
</cp:coreProperties>
</file>