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15564" cy="662939"/>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5564" cy="6629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AGENCY FOR THE PROTECTION OF THE RIGHT TO FREE ACCESS TO PUBLIC INFORMATION</w:t>
      </w:r>
    </w:p>
    <w:p w:rsidR="00000000" w:rsidDel="00000000" w:rsidP="00000000" w:rsidRDefault="00000000" w:rsidRPr="00000000" w14:paraId="00000004">
      <w:pPr>
        <w:widowControl w:val="0"/>
        <w:spacing w:before="171" w:line="240" w:lineRule="auto"/>
        <w:rPr>
          <w:b w:val="1"/>
          <w:i w:val="1"/>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254000</wp:posOffset>
                </wp:positionV>
                <wp:extent cx="4883785" cy="12700"/>
                <wp:effectExtent b="0" l="0" r="0" t="0"/>
                <wp:wrapTopAndBottom distB="0" distT="0"/>
                <wp:docPr id="1" name=""/>
                <a:graphic>
                  <a:graphicData uri="http://schemas.microsoft.com/office/word/2010/wordprocessingShape">
                    <wps:wsp>
                      <wps:cNvSpPr/>
                      <wps:cNvPr id="2" name="Shape 2"/>
                      <wps:spPr>
                        <a:xfrm>
                          <a:off x="2904108" y="3776825"/>
                          <a:ext cx="4883785" cy="6350"/>
                        </a:xfrm>
                        <a:custGeom>
                          <a:rect b="b" l="l" r="r" t="t"/>
                          <a:pathLst>
                            <a:path extrusionOk="0" h="6350" w="4883785">
                              <a:moveTo>
                                <a:pt x="4883785" y="0"/>
                              </a:moveTo>
                              <a:lnTo>
                                <a:pt x="0" y="0"/>
                              </a:lnTo>
                              <a:lnTo>
                                <a:pt x="0" y="6096"/>
                              </a:lnTo>
                              <a:lnTo>
                                <a:pt x="4883785" y="6096"/>
                              </a:lnTo>
                              <a:lnTo>
                                <a:pt x="4883785" y="0"/>
                              </a:lnTo>
                              <a:close/>
                            </a:path>
                          </a:pathLst>
                        </a:custGeom>
                        <a:solidFill>
                          <a:srgbClr val="4F81BC"/>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254000</wp:posOffset>
                </wp:positionV>
                <wp:extent cx="4883785" cy="12700"/>
                <wp:effectExtent b="0" l="0" r="0" t="0"/>
                <wp:wrapTopAndBottom distB="0" dist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883785" cy="12700"/>
                        </a:xfrm>
                        <a:prstGeom prst="rect"/>
                        <a:ln/>
                      </pic:spPr>
                    </pic:pic>
                  </a:graphicData>
                </a:graphic>
              </wp:anchor>
            </w:drawing>
          </mc:Fallback>
        </mc:AlternateContent>
      </w:r>
    </w:p>
    <w:p w:rsidR="00000000" w:rsidDel="00000000" w:rsidP="00000000" w:rsidRDefault="00000000" w:rsidRPr="00000000" w14:paraId="00000005">
      <w:pPr>
        <w:widowControl w:val="0"/>
        <w:spacing w:after="280" w:before="280" w:line="240" w:lineRule="auto"/>
        <w:jc w:val="center"/>
        <w:rPr>
          <w:rFonts w:ascii="StobiSerif Regular" w:cs="StobiSerif Regular" w:eastAsia="StobiSerif Regular" w:hAnsi="StobiSerif Regular"/>
          <w:b w:val="1"/>
          <w:sz w:val="32"/>
          <w:szCs w:val="32"/>
        </w:rPr>
      </w:pPr>
      <w:r w:rsidDel="00000000" w:rsidR="00000000" w:rsidRPr="00000000">
        <w:rPr>
          <w:rFonts w:ascii="StobiSerif Regular" w:cs="StobiSerif Regular" w:eastAsia="StobiSerif Regular" w:hAnsi="StobiSerif Regular"/>
          <w:b w:val="1"/>
          <w:sz w:val="32"/>
          <w:szCs w:val="32"/>
          <w:rtl w:val="0"/>
        </w:rPr>
        <w:t xml:space="preserve">COMPARATIVE ANALYSIS OF ACTIVE TRANSPARENCY FOR 2021, 2023, AND 2025 OF PUBLIC ENTERPRISES UNDER MUNICIPAL JURISDICTION</w:t>
      </w:r>
    </w:p>
    <w:p w:rsidR="00000000" w:rsidDel="00000000" w:rsidP="00000000" w:rsidRDefault="00000000" w:rsidRPr="00000000" w14:paraId="00000006">
      <w:pPr>
        <w:widowControl w:val="0"/>
        <w:spacing w:before="9" w:line="240" w:lineRule="auto"/>
        <w:rPr>
          <w:b w:val="1"/>
          <w:i w:val="1"/>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101600</wp:posOffset>
                </wp:positionV>
                <wp:extent cx="4883785" cy="12700"/>
                <wp:effectExtent b="0" l="0" r="0" t="0"/>
                <wp:wrapTopAndBottom distB="0" distT="0"/>
                <wp:docPr id="2" name=""/>
                <a:graphic>
                  <a:graphicData uri="http://schemas.microsoft.com/office/word/2010/wordprocessingShape">
                    <wps:wsp>
                      <wps:cNvSpPr/>
                      <wps:cNvPr id="3" name="Shape 3"/>
                      <wps:spPr>
                        <a:xfrm>
                          <a:off x="2904108" y="3776825"/>
                          <a:ext cx="4883785" cy="6350"/>
                        </a:xfrm>
                        <a:custGeom>
                          <a:rect b="b" l="l" r="r" t="t"/>
                          <a:pathLst>
                            <a:path extrusionOk="0" h="6350" w="4883785">
                              <a:moveTo>
                                <a:pt x="4883785" y="0"/>
                              </a:moveTo>
                              <a:lnTo>
                                <a:pt x="0" y="0"/>
                              </a:lnTo>
                              <a:lnTo>
                                <a:pt x="0" y="6096"/>
                              </a:lnTo>
                              <a:lnTo>
                                <a:pt x="4883785" y="6096"/>
                              </a:lnTo>
                              <a:lnTo>
                                <a:pt x="4883785" y="0"/>
                              </a:lnTo>
                              <a:close/>
                            </a:path>
                          </a:pathLst>
                        </a:custGeom>
                        <a:solidFill>
                          <a:srgbClr val="4F81BC"/>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101600</wp:posOffset>
                </wp:positionV>
                <wp:extent cx="4883785" cy="12700"/>
                <wp:effectExtent b="0" l="0" r="0" t="0"/>
                <wp:wrapTopAndBottom distB="0" distT="0"/>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883785" cy="12700"/>
                        </a:xfrm>
                        <a:prstGeom prst="rect"/>
                        <a:ln/>
                      </pic:spPr>
                    </pic:pic>
                  </a:graphicData>
                </a:graphic>
              </wp:anchor>
            </w:drawing>
          </mc:Fallback>
        </mc:AlternateContent>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5262563" cy="457494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62563" cy="457494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spacing w:line="240"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Skopje, April 2025</w:t>
      </w:r>
    </w:p>
    <w:p w:rsidR="00000000" w:rsidDel="00000000" w:rsidP="00000000" w:rsidRDefault="00000000" w:rsidRPr="00000000" w14:paraId="0000000D">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methodology of the statistical quantitative analysis relies on data obtained from the monitoring conducted in 2021, 2023, and 2025. </w:t>
      </w:r>
    </w:p>
    <w:p w:rsidR="00000000" w:rsidDel="00000000" w:rsidP="00000000" w:rsidRDefault="00000000" w:rsidRPr="00000000" w14:paraId="0000000E">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 representative sample of 21 information holders from the institutions monitored so far, founded and under the jurisdiction of the local self-government units, and their index of active transparency, was taken from the list of holders for this analysis. </w:t>
      </w:r>
    </w:p>
    <w:p w:rsidR="00000000" w:rsidDel="00000000" w:rsidP="00000000" w:rsidRDefault="00000000" w:rsidRPr="00000000" w14:paraId="0000000F">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analysis detects the state and performance of these institutions in terms of transparency and accountability to citizens over the past period.</w:t>
      </w:r>
    </w:p>
    <w:p w:rsidR="00000000" w:rsidDel="00000000" w:rsidP="00000000" w:rsidRDefault="00000000" w:rsidRPr="00000000" w14:paraId="00000010">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goal is to evaluate the degree to which citizens are proactive in informing themselves by publishing public information on their web pages.</w:t>
      </w:r>
    </w:p>
    <w:p w:rsidR="00000000" w:rsidDel="00000000" w:rsidP="00000000" w:rsidRDefault="00000000" w:rsidRPr="00000000" w14:paraId="00000011">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Key findings by year:</w:t>
      </w:r>
    </w:p>
    <w:p w:rsidR="00000000" w:rsidDel="00000000" w:rsidP="00000000" w:rsidRDefault="00000000" w:rsidRPr="00000000" w14:paraId="00000012">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The biggest oscillations are noted among high-level enterprises - some are declining, while others are making progress. This refers to an </w:t>
      </w:r>
      <w:r w:rsidDel="00000000" w:rsidR="00000000" w:rsidRPr="00000000">
        <w:rPr>
          <w:rFonts w:ascii="StobiSerif Regular" w:cs="StobiSerif Regular" w:eastAsia="StobiSerif Regular" w:hAnsi="StobiSerif Regular"/>
          <w:b w:val="1"/>
          <w:sz w:val="24"/>
          <w:szCs w:val="24"/>
          <w:rtl w:val="0"/>
        </w:rPr>
        <w:t xml:space="preserve">inconsistency in maintaining transparency standards</w:t>
      </w:r>
      <w:r w:rsidDel="00000000" w:rsidR="00000000" w:rsidRPr="00000000">
        <w:rPr>
          <w:rFonts w:ascii="StobiSerif Regular" w:cs="StobiSerif Regular" w:eastAsia="StobiSerif Regular" w:hAnsi="StobiSerif Regular"/>
          <w:sz w:val="24"/>
          <w:szCs w:val="24"/>
          <w:rtl w:val="0"/>
        </w:rPr>
        <w:t xml:space="preserve">.</w:t>
      </w:r>
      <w:r w:rsidDel="00000000" w:rsidR="00000000" w:rsidRPr="00000000">
        <w:rPr>
          <w:rtl w:val="0"/>
        </w:rPr>
      </w:r>
    </w:p>
    <w:p w:rsidR="00000000" w:rsidDel="00000000" w:rsidP="00000000" w:rsidRDefault="00000000" w:rsidRPr="00000000" w14:paraId="00000013">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2021 </w:t>
      </w:r>
    </w:p>
    <w:p w:rsidR="00000000" w:rsidDel="00000000" w:rsidP="00000000" w:rsidRDefault="00000000" w:rsidRPr="00000000" w14:paraId="00000014">
      <w:pPr>
        <w:numPr>
          <w:ilvl w:val="0"/>
          <w:numId w:val="2"/>
        </w:numPr>
        <w:spacing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22 enterprises</w:t>
      </w:r>
      <w:r w:rsidDel="00000000" w:rsidR="00000000" w:rsidRPr="00000000">
        <w:rPr>
          <w:rFonts w:ascii="StobiSerif Regular" w:cs="StobiSerif Regular" w:eastAsia="StobiSerif Regular" w:hAnsi="StobiSerif Regular"/>
          <w:sz w:val="24"/>
          <w:szCs w:val="24"/>
          <w:rtl w:val="0"/>
        </w:rPr>
        <w:t xml:space="preserve"> had a </w:t>
      </w:r>
      <w:r w:rsidDel="00000000" w:rsidR="00000000" w:rsidRPr="00000000">
        <w:rPr>
          <w:rFonts w:ascii="StobiSerif Regular" w:cs="StobiSerif Regular" w:eastAsia="StobiSerif Regular" w:hAnsi="StobiSerif Regular"/>
          <w:b w:val="1"/>
          <w:sz w:val="24"/>
          <w:szCs w:val="24"/>
          <w:rtl w:val="0"/>
        </w:rPr>
        <w:t xml:space="preserve">very low</w:t>
      </w:r>
      <w:r w:rsidDel="00000000" w:rsidR="00000000" w:rsidRPr="00000000">
        <w:rPr>
          <w:rFonts w:ascii="StobiSerif Regular" w:cs="StobiSerif Regular" w:eastAsia="StobiSerif Regular" w:hAnsi="StobiSerif Regular"/>
          <w:sz w:val="24"/>
          <w:szCs w:val="24"/>
          <w:rtl w:val="0"/>
        </w:rPr>
        <w:t xml:space="preserve"> level of transparency</w:t>
      </w:r>
    </w:p>
    <w:p w:rsidR="00000000" w:rsidDel="00000000" w:rsidP="00000000" w:rsidRDefault="00000000" w:rsidRPr="00000000" w14:paraId="00000015">
      <w:pPr>
        <w:numPr>
          <w:ilvl w:val="0"/>
          <w:numId w:val="2"/>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5 enterprises</w:t>
      </w:r>
      <w:r w:rsidDel="00000000" w:rsidR="00000000" w:rsidRPr="00000000">
        <w:rPr>
          <w:rFonts w:ascii="StobiSerif Regular" w:cs="StobiSerif Regular" w:eastAsia="StobiSerif Regular" w:hAnsi="StobiSerif Regular"/>
          <w:sz w:val="24"/>
          <w:szCs w:val="24"/>
          <w:rtl w:val="0"/>
        </w:rPr>
        <w:t xml:space="preserve"> with a </w:t>
      </w:r>
      <w:r w:rsidDel="00000000" w:rsidR="00000000" w:rsidRPr="00000000">
        <w:rPr>
          <w:rFonts w:ascii="StobiSerif Regular" w:cs="StobiSerif Regular" w:eastAsia="StobiSerif Regular" w:hAnsi="StobiSerif Regular"/>
          <w:b w:val="1"/>
          <w:sz w:val="24"/>
          <w:szCs w:val="24"/>
          <w:rtl w:val="0"/>
        </w:rPr>
        <w:t xml:space="preserve">low</w:t>
      </w:r>
      <w:r w:rsidDel="00000000" w:rsidR="00000000" w:rsidRPr="00000000">
        <w:rPr>
          <w:rFonts w:ascii="StobiSerif Regular" w:cs="StobiSerif Regular" w:eastAsia="StobiSerif Regular" w:hAnsi="StobiSerif Regular"/>
          <w:sz w:val="24"/>
          <w:szCs w:val="24"/>
          <w:rtl w:val="0"/>
        </w:rPr>
        <w:t xml:space="preserve"> level</w:t>
      </w:r>
    </w:p>
    <w:p w:rsidR="00000000" w:rsidDel="00000000" w:rsidP="00000000" w:rsidRDefault="00000000" w:rsidRPr="00000000" w14:paraId="00000016">
      <w:pPr>
        <w:numPr>
          <w:ilvl w:val="0"/>
          <w:numId w:val="2"/>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8 enterprises</w:t>
      </w:r>
      <w:r w:rsidDel="00000000" w:rsidR="00000000" w:rsidRPr="00000000">
        <w:rPr>
          <w:rFonts w:ascii="StobiSerif Regular" w:cs="StobiSerif Regular" w:eastAsia="StobiSerif Regular" w:hAnsi="StobiSerif Regular"/>
          <w:sz w:val="24"/>
          <w:szCs w:val="24"/>
          <w:rtl w:val="0"/>
        </w:rPr>
        <w:t xml:space="preserve"> with an </w:t>
      </w:r>
      <w:r w:rsidDel="00000000" w:rsidR="00000000" w:rsidRPr="00000000">
        <w:rPr>
          <w:rFonts w:ascii="StobiSerif Regular" w:cs="StobiSerif Regular" w:eastAsia="StobiSerif Regular" w:hAnsi="StobiSerif Regular"/>
          <w:b w:val="1"/>
          <w:sz w:val="24"/>
          <w:szCs w:val="24"/>
          <w:rtl w:val="0"/>
        </w:rPr>
        <w:t xml:space="preserve">average</w:t>
      </w:r>
      <w:r w:rsidDel="00000000" w:rsidR="00000000" w:rsidRPr="00000000">
        <w:rPr>
          <w:rFonts w:ascii="StobiSerif Regular" w:cs="StobiSerif Regular" w:eastAsia="StobiSerif Regular" w:hAnsi="StobiSerif Regular"/>
          <w:sz w:val="24"/>
          <w:szCs w:val="24"/>
          <w:rtl w:val="0"/>
        </w:rPr>
        <w:t xml:space="preserve"> level</w:t>
      </w:r>
    </w:p>
    <w:p w:rsidR="00000000" w:rsidDel="00000000" w:rsidP="00000000" w:rsidRDefault="00000000" w:rsidRPr="00000000" w14:paraId="00000017">
      <w:pPr>
        <w:numPr>
          <w:ilvl w:val="0"/>
          <w:numId w:val="2"/>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3 enterprises</w:t>
      </w:r>
      <w:r w:rsidDel="00000000" w:rsidR="00000000" w:rsidRPr="00000000">
        <w:rPr>
          <w:rFonts w:ascii="StobiSerif Regular" w:cs="StobiSerif Regular" w:eastAsia="StobiSerif Regular" w:hAnsi="StobiSerif Regular"/>
          <w:sz w:val="24"/>
          <w:szCs w:val="24"/>
          <w:rtl w:val="0"/>
        </w:rPr>
        <w:t xml:space="preserve"> with a </w:t>
      </w:r>
      <w:r w:rsidDel="00000000" w:rsidR="00000000" w:rsidRPr="00000000">
        <w:rPr>
          <w:rFonts w:ascii="StobiSerif Regular" w:cs="StobiSerif Regular" w:eastAsia="StobiSerif Regular" w:hAnsi="StobiSerif Regular"/>
          <w:b w:val="1"/>
          <w:sz w:val="24"/>
          <w:szCs w:val="24"/>
          <w:rtl w:val="0"/>
        </w:rPr>
        <w:t xml:space="preserve">high</w:t>
      </w:r>
      <w:r w:rsidDel="00000000" w:rsidR="00000000" w:rsidRPr="00000000">
        <w:rPr>
          <w:rFonts w:ascii="StobiSerif Regular" w:cs="StobiSerif Regular" w:eastAsia="StobiSerif Regular" w:hAnsi="StobiSerif Regular"/>
          <w:sz w:val="24"/>
          <w:szCs w:val="24"/>
          <w:rtl w:val="0"/>
        </w:rPr>
        <w:t xml:space="preserve"> level</w:t>
      </w:r>
    </w:p>
    <w:p w:rsidR="00000000" w:rsidDel="00000000" w:rsidP="00000000" w:rsidRDefault="00000000" w:rsidRPr="00000000" w14:paraId="00000018">
      <w:pPr>
        <w:numPr>
          <w:ilvl w:val="0"/>
          <w:numId w:val="2"/>
        </w:numPr>
        <w:spacing w:after="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Monitoring the holders' web pages revealed a low level of transparency, but there was no significant percentage difference between the monitored holders.</w:t>
      </w:r>
    </w:p>
    <w:p w:rsidR="00000000" w:rsidDel="00000000" w:rsidP="00000000" w:rsidRDefault="00000000" w:rsidRPr="00000000" w14:paraId="00000019">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2023 </w:t>
      </w:r>
    </w:p>
    <w:p w:rsidR="00000000" w:rsidDel="00000000" w:rsidP="00000000" w:rsidRDefault="00000000" w:rsidRPr="00000000" w14:paraId="0000001A">
      <w:pPr>
        <w:numPr>
          <w:ilvl w:val="0"/>
          <w:numId w:val="1"/>
        </w:numPr>
        <w:spacing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There is a noticeable increase in </w:t>
      </w:r>
      <w:r w:rsidDel="00000000" w:rsidR="00000000" w:rsidRPr="00000000">
        <w:rPr>
          <w:rFonts w:ascii="StobiSerif Regular" w:cs="StobiSerif Regular" w:eastAsia="StobiSerif Regular" w:hAnsi="StobiSerif Regular"/>
          <w:b w:val="1"/>
          <w:sz w:val="24"/>
          <w:szCs w:val="24"/>
          <w:rtl w:val="0"/>
        </w:rPr>
        <w:t xml:space="preserve">the average level</w:t>
      </w:r>
      <w:r w:rsidDel="00000000" w:rsidR="00000000" w:rsidRPr="00000000">
        <w:rPr>
          <w:rFonts w:ascii="StobiSerif Regular" w:cs="StobiSerif Regular" w:eastAsia="StobiSerif Regular" w:hAnsi="StobiSerif Regular"/>
          <w:sz w:val="24"/>
          <w:szCs w:val="24"/>
          <w:rtl w:val="0"/>
        </w:rPr>
        <w:t xml:space="preserve"> of transparency.</w:t>
      </w:r>
    </w:p>
    <w:p w:rsidR="00000000" w:rsidDel="00000000" w:rsidP="00000000" w:rsidRDefault="00000000" w:rsidRPr="00000000" w14:paraId="0000001B">
      <w:pPr>
        <w:numPr>
          <w:ilvl w:val="0"/>
          <w:numId w:val="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The high-level</w:t>
      </w:r>
      <w:r w:rsidDel="00000000" w:rsidR="00000000" w:rsidRPr="00000000">
        <w:rPr>
          <w:rFonts w:ascii="StobiSerif Regular" w:cs="StobiSerif Regular" w:eastAsia="StobiSerif Regular" w:hAnsi="StobiSerif Regular"/>
          <w:sz w:val="24"/>
          <w:szCs w:val="24"/>
          <w:rtl w:val="0"/>
        </w:rPr>
        <w:t xml:space="preserve"> notes </w:t>
      </w:r>
      <w:r w:rsidDel="00000000" w:rsidR="00000000" w:rsidRPr="00000000">
        <w:rPr>
          <w:rFonts w:ascii="StobiSerif Regular" w:cs="StobiSerif Regular" w:eastAsia="StobiSerif Regular" w:hAnsi="StobiSerif Regular"/>
          <w:b w:val="1"/>
          <w:sz w:val="24"/>
          <w:szCs w:val="24"/>
          <w:rtl w:val="0"/>
        </w:rPr>
        <w:t xml:space="preserve">insignificant decline</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1C">
      <w:pPr>
        <w:numPr>
          <w:ilvl w:val="0"/>
          <w:numId w:val="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Low transparency</w:t>
      </w:r>
      <w:r w:rsidDel="00000000" w:rsidR="00000000" w:rsidRPr="00000000">
        <w:rPr>
          <w:rFonts w:ascii="StobiSerif Regular" w:cs="StobiSerif Regular" w:eastAsia="StobiSerif Regular" w:hAnsi="StobiSerif Regular"/>
          <w:sz w:val="24"/>
          <w:szCs w:val="24"/>
          <w:rtl w:val="0"/>
        </w:rPr>
        <w:t xml:space="preserve"> remains dominant among some of the owners.</w:t>
      </w:r>
    </w:p>
    <w:p w:rsidR="00000000" w:rsidDel="00000000" w:rsidP="00000000" w:rsidRDefault="00000000" w:rsidRPr="00000000" w14:paraId="0000001D">
      <w:pPr>
        <w:numPr>
          <w:ilvl w:val="0"/>
          <w:numId w:val="1"/>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Specific indicators:</w:t>
      </w:r>
    </w:p>
    <w:p w:rsidR="00000000" w:rsidDel="00000000" w:rsidP="00000000" w:rsidRDefault="00000000" w:rsidRPr="00000000" w14:paraId="0000001E">
      <w:pPr>
        <w:numPr>
          <w:ilvl w:val="1"/>
          <w:numId w:val="1"/>
        </w:numPr>
        <w:spacing w:line="240" w:lineRule="auto"/>
        <w:ind w:left="144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 companies retained their </w:t>
      </w:r>
      <w:r w:rsidDel="00000000" w:rsidR="00000000" w:rsidRPr="00000000">
        <w:rPr>
          <w:rFonts w:ascii="StobiSerif Regular" w:cs="StobiSerif Regular" w:eastAsia="StobiSerif Regular" w:hAnsi="StobiSerif Regular"/>
          <w:b w:val="1"/>
          <w:sz w:val="24"/>
          <w:szCs w:val="24"/>
          <w:rtl w:val="0"/>
        </w:rPr>
        <w:t xml:space="preserve">high transparency</w:t>
      </w:r>
      <w:r w:rsidDel="00000000" w:rsidR="00000000" w:rsidRPr="00000000">
        <w:rPr>
          <w:rtl w:val="0"/>
        </w:rPr>
      </w:r>
    </w:p>
    <w:p w:rsidR="00000000" w:rsidDel="00000000" w:rsidP="00000000" w:rsidRDefault="00000000" w:rsidRPr="00000000" w14:paraId="0000001F">
      <w:pPr>
        <w:numPr>
          <w:ilvl w:val="1"/>
          <w:numId w:val="1"/>
        </w:numPr>
        <w:spacing w:line="240" w:lineRule="auto"/>
        <w:ind w:left="144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6 enterprises remained at the </w:t>
      </w:r>
      <w:r w:rsidDel="00000000" w:rsidR="00000000" w:rsidRPr="00000000">
        <w:rPr>
          <w:rFonts w:ascii="StobiSerif Regular" w:cs="StobiSerif Regular" w:eastAsia="StobiSerif Regular" w:hAnsi="StobiSerif Regular"/>
          <w:b w:val="1"/>
          <w:sz w:val="24"/>
          <w:szCs w:val="24"/>
          <w:rtl w:val="0"/>
        </w:rPr>
        <w:t xml:space="preserve">middle level</w:t>
      </w:r>
      <w:r w:rsidDel="00000000" w:rsidR="00000000" w:rsidRPr="00000000">
        <w:rPr>
          <w:rtl w:val="0"/>
        </w:rPr>
      </w:r>
    </w:p>
    <w:p w:rsidR="00000000" w:rsidDel="00000000" w:rsidP="00000000" w:rsidRDefault="00000000" w:rsidRPr="00000000" w14:paraId="00000020">
      <w:pPr>
        <w:numPr>
          <w:ilvl w:val="1"/>
          <w:numId w:val="1"/>
        </w:numPr>
        <w:spacing w:line="240" w:lineRule="auto"/>
        <w:ind w:left="144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 company left with a </w:t>
      </w:r>
      <w:r w:rsidDel="00000000" w:rsidR="00000000" w:rsidRPr="00000000">
        <w:rPr>
          <w:rFonts w:ascii="StobiSerif Regular" w:cs="StobiSerif Regular" w:eastAsia="StobiSerif Regular" w:hAnsi="StobiSerif Regular"/>
          <w:b w:val="1"/>
          <w:sz w:val="24"/>
          <w:szCs w:val="24"/>
          <w:rtl w:val="0"/>
        </w:rPr>
        <w:t xml:space="preserve">low level</w:t>
      </w:r>
      <w:r w:rsidDel="00000000" w:rsidR="00000000" w:rsidRPr="00000000">
        <w:rPr>
          <w:rtl w:val="0"/>
        </w:rPr>
      </w:r>
    </w:p>
    <w:p w:rsidR="00000000" w:rsidDel="00000000" w:rsidP="00000000" w:rsidRDefault="00000000" w:rsidRPr="00000000" w14:paraId="00000021">
      <w:pPr>
        <w:numPr>
          <w:ilvl w:val="1"/>
          <w:numId w:val="1"/>
        </w:numPr>
        <w:spacing w:after="280" w:line="240" w:lineRule="auto"/>
        <w:ind w:left="144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 company returned from </w:t>
      </w:r>
      <w:r w:rsidDel="00000000" w:rsidR="00000000" w:rsidRPr="00000000">
        <w:rPr>
          <w:rFonts w:ascii="StobiSerif Regular" w:cs="StobiSerif Regular" w:eastAsia="StobiSerif Regular" w:hAnsi="StobiSerif Regular"/>
          <w:b w:val="1"/>
          <w:sz w:val="24"/>
          <w:szCs w:val="24"/>
          <w:rtl w:val="0"/>
        </w:rPr>
        <w:t xml:space="preserve">high to low</w:t>
      </w:r>
      <w:r w:rsidDel="00000000" w:rsidR="00000000" w:rsidRPr="00000000">
        <w:rPr>
          <w:rFonts w:ascii="StobiSerif Regular" w:cs="StobiSerif Regular" w:eastAsia="StobiSerif Regular" w:hAnsi="StobiSerif Regular"/>
          <w:sz w:val="24"/>
          <w:szCs w:val="24"/>
          <w:rtl w:val="0"/>
        </w:rPr>
        <w:t xml:space="preserve">, and the other from </w:t>
      </w:r>
      <w:r w:rsidDel="00000000" w:rsidR="00000000" w:rsidRPr="00000000">
        <w:rPr>
          <w:rFonts w:ascii="StobiSerif Regular" w:cs="StobiSerif Regular" w:eastAsia="StobiSerif Regular" w:hAnsi="StobiSerif Regular"/>
          <w:b w:val="1"/>
          <w:sz w:val="24"/>
          <w:szCs w:val="24"/>
          <w:rtl w:val="0"/>
        </w:rPr>
        <w:t xml:space="preserve">high to high level of transparency</w:t>
      </w:r>
      <w:r w:rsidDel="00000000" w:rsidR="00000000" w:rsidRPr="00000000">
        <w:rPr>
          <w:rtl w:val="0"/>
        </w:rPr>
      </w:r>
    </w:p>
    <w:p w:rsidR="00000000" w:rsidDel="00000000" w:rsidP="00000000" w:rsidRDefault="00000000" w:rsidRPr="00000000" w14:paraId="00000022">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2025 </w:t>
      </w:r>
    </w:p>
    <w:p w:rsidR="00000000" w:rsidDel="00000000" w:rsidP="00000000" w:rsidRDefault="00000000" w:rsidRPr="00000000" w14:paraId="00000023">
      <w:pPr>
        <w:numPr>
          <w:ilvl w:val="0"/>
          <w:numId w:val="3"/>
        </w:numPr>
        <w:spacing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general level of monitored holders is moving towards a </w:t>
      </w:r>
      <w:r w:rsidDel="00000000" w:rsidR="00000000" w:rsidRPr="00000000">
        <w:rPr>
          <w:rFonts w:ascii="StobiSerif Regular" w:cs="StobiSerif Regular" w:eastAsia="StobiSerif Regular" w:hAnsi="StobiSerif Regular"/>
          <w:b w:val="1"/>
          <w:sz w:val="24"/>
          <w:szCs w:val="24"/>
          <w:rtl w:val="0"/>
        </w:rPr>
        <w:t xml:space="preserve">medium level of transparency</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4 enterprises</w:t>
      </w:r>
      <w:r w:rsidDel="00000000" w:rsidR="00000000" w:rsidRPr="00000000">
        <w:rPr>
          <w:rFonts w:ascii="StobiSerif Regular" w:cs="StobiSerif Regular" w:eastAsia="StobiSerif Regular" w:hAnsi="StobiSerif Regular"/>
          <w:sz w:val="24"/>
          <w:szCs w:val="24"/>
          <w:rtl w:val="0"/>
        </w:rPr>
        <w:t xml:space="preserve"> stay at a </w:t>
      </w:r>
      <w:r w:rsidDel="00000000" w:rsidR="00000000" w:rsidRPr="00000000">
        <w:rPr>
          <w:rFonts w:ascii="StobiSerif Regular" w:cs="StobiSerif Regular" w:eastAsia="StobiSerif Regular" w:hAnsi="StobiSerif Regular"/>
          <w:b w:val="1"/>
          <w:sz w:val="24"/>
          <w:szCs w:val="24"/>
          <w:rtl w:val="0"/>
        </w:rPr>
        <w:t xml:space="preserve">low level</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 company </w:t>
      </w:r>
      <w:r w:rsidDel="00000000" w:rsidR="00000000" w:rsidRPr="00000000">
        <w:rPr>
          <w:rFonts w:ascii="StobiSerif Regular" w:cs="StobiSerif Regular" w:eastAsia="StobiSerif Regular" w:hAnsi="StobiSerif Regular"/>
          <w:b w:val="1"/>
          <w:sz w:val="24"/>
          <w:szCs w:val="24"/>
          <w:rtl w:val="0"/>
        </w:rPr>
        <w:t xml:space="preserve">reduced transparency</w:t>
      </w:r>
      <w:r w:rsidDel="00000000" w:rsidR="00000000" w:rsidRPr="00000000">
        <w:rPr>
          <w:rFonts w:ascii="StobiSerif Regular" w:cs="StobiSerif Regular" w:eastAsia="StobiSerif Regular" w:hAnsi="StobiSerif Regular"/>
          <w:sz w:val="24"/>
          <w:szCs w:val="24"/>
          <w:rtl w:val="0"/>
        </w:rPr>
        <w:t xml:space="preserve"> (lack of public information published on the website)</w:t>
      </w:r>
    </w:p>
    <w:p w:rsidR="00000000" w:rsidDel="00000000" w:rsidP="00000000" w:rsidRDefault="00000000" w:rsidRPr="00000000" w14:paraId="00000026">
      <w:pPr>
        <w:numPr>
          <w:ilvl w:val="0"/>
          <w:numId w:val="3"/>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 enterprise, for </w:t>
      </w:r>
      <w:r w:rsidDel="00000000" w:rsidR="00000000" w:rsidRPr="00000000">
        <w:rPr>
          <w:rFonts w:ascii="StobiSerif Regular" w:cs="StobiSerif Regular" w:eastAsia="StobiSerif Regular" w:hAnsi="StobiSerif Regular"/>
          <w:b w:val="1"/>
          <w:sz w:val="24"/>
          <w:szCs w:val="24"/>
          <w:rtl w:val="0"/>
        </w:rPr>
        <w:t xml:space="preserve">three years in a row,</w:t>
      </w:r>
      <w:r w:rsidDel="00000000" w:rsidR="00000000" w:rsidRPr="00000000">
        <w:rPr>
          <w:rFonts w:ascii="StobiSerif Regular" w:cs="StobiSerif Regular" w:eastAsia="StobiSerif Regular" w:hAnsi="StobiSerif Regular"/>
          <w:sz w:val="24"/>
          <w:szCs w:val="24"/>
          <w:rtl w:val="0"/>
        </w:rPr>
        <w:t xml:space="preserve"> maintains </w:t>
      </w:r>
      <w:r w:rsidDel="00000000" w:rsidR="00000000" w:rsidRPr="00000000">
        <w:rPr>
          <w:rFonts w:ascii="StobiSerif Regular" w:cs="StobiSerif Regular" w:eastAsia="StobiSerif Regular" w:hAnsi="StobiSerif Regular"/>
          <w:b w:val="1"/>
          <w:sz w:val="24"/>
          <w:szCs w:val="24"/>
          <w:rtl w:val="0"/>
        </w:rPr>
        <w:t xml:space="preserve">the highest level of transparency</w:t>
      </w: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 company </w:t>
      </w:r>
      <w:r w:rsidDel="00000000" w:rsidR="00000000" w:rsidRPr="00000000">
        <w:rPr>
          <w:rFonts w:ascii="StobiSerif Regular" w:cs="StobiSerif Regular" w:eastAsia="StobiSerif Regular" w:hAnsi="StobiSerif Regular"/>
          <w:b w:val="1"/>
          <w:sz w:val="24"/>
          <w:szCs w:val="24"/>
          <w:rtl w:val="0"/>
        </w:rPr>
        <w:t xml:space="preserve">transitioned from low to high level, two years in a row</w:t>
      </w:r>
      <w:r w:rsidDel="00000000" w:rsidR="00000000" w:rsidRPr="00000000">
        <w:rPr>
          <w:rtl w:val="0"/>
        </w:rPr>
      </w:r>
    </w:p>
    <w:p w:rsidR="00000000" w:rsidDel="00000000" w:rsidP="00000000" w:rsidRDefault="00000000" w:rsidRPr="00000000" w14:paraId="00000028">
      <w:pPr>
        <w:numPr>
          <w:ilvl w:val="0"/>
          <w:numId w:val="3"/>
        </w:numPr>
        <w:spacing w:after="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 enterprises remain in the </w:t>
      </w:r>
      <w:r w:rsidDel="00000000" w:rsidR="00000000" w:rsidRPr="00000000">
        <w:rPr>
          <w:rFonts w:ascii="StobiSerif Regular" w:cs="StobiSerif Regular" w:eastAsia="StobiSerif Regular" w:hAnsi="StobiSerif Regular"/>
          <w:b w:val="1"/>
          <w:sz w:val="24"/>
          <w:szCs w:val="24"/>
          <w:rtl w:val="0"/>
        </w:rPr>
        <w:t xml:space="preserve">second year in a row</w:t>
      </w:r>
      <w:r w:rsidDel="00000000" w:rsidR="00000000" w:rsidRPr="00000000">
        <w:rPr>
          <w:rFonts w:ascii="StobiSerif Regular" w:cs="StobiSerif Regular" w:eastAsia="StobiSerif Regular" w:hAnsi="StobiSerif Regular"/>
          <w:sz w:val="24"/>
          <w:szCs w:val="24"/>
          <w:rtl w:val="0"/>
        </w:rPr>
        <w:t xml:space="preserve"> with </w:t>
      </w:r>
      <w:r w:rsidDel="00000000" w:rsidR="00000000" w:rsidRPr="00000000">
        <w:rPr>
          <w:rFonts w:ascii="StobiSerif Regular" w:cs="StobiSerif Regular" w:eastAsia="StobiSerif Regular" w:hAnsi="StobiSerif Regular"/>
          <w:b w:val="1"/>
          <w:sz w:val="24"/>
          <w:szCs w:val="24"/>
          <w:rtl w:val="0"/>
        </w:rPr>
        <w:t xml:space="preserve">a low level of transparency</w:t>
      </w:r>
      <w:r w:rsidDel="00000000" w:rsidR="00000000" w:rsidRPr="00000000">
        <w:rPr>
          <w:rtl w:val="0"/>
        </w:rPr>
      </w:r>
    </w:p>
    <w:p w:rsidR="00000000" w:rsidDel="00000000" w:rsidP="00000000" w:rsidRDefault="00000000" w:rsidRPr="00000000" w14:paraId="00000029">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Pr>
        <w:drawing>
          <wp:inline distB="114300" distT="114300" distL="114300" distR="114300">
            <wp:extent cx="5943600" cy="35814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On the graphic display, it can be observed that all these oscillations in the work of the institutions are reflected in a percentage jump in the index of transparency and accountability.   A significant difference is observed among holders with a low level of transparency. Only four holders have a low level of transparency for all three years, while the rest remained with a medium or low level. The analysis shows that the owners should invest more in the publication of information on their web pages, which will show accountability in their work, and thus bring their work closer to their end users, that is, to the citizens.</w:t>
      </w:r>
      <w:r w:rsidDel="00000000" w:rsidR="00000000" w:rsidRPr="00000000">
        <w:rPr>
          <w:rtl w:val="0"/>
        </w:rPr>
      </w:r>
    </w:p>
    <w:p w:rsidR="00000000" w:rsidDel="00000000" w:rsidP="00000000" w:rsidRDefault="00000000" w:rsidRPr="00000000" w14:paraId="0000002B">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lack of published information on websites (such as work reports, budgets, public procurements, acts, and decisions), </w:t>
      </w:r>
      <w:r w:rsidDel="00000000" w:rsidR="00000000" w:rsidRPr="00000000">
        <w:rPr>
          <w:b w:val="1"/>
          <w:sz w:val="24"/>
          <w:szCs w:val="24"/>
          <w:rtl w:val="0"/>
        </w:rPr>
        <w:t xml:space="preserve">insufficient</w:t>
      </w:r>
      <w:r w:rsidDel="00000000" w:rsidR="00000000" w:rsidRPr="00000000">
        <w:rPr>
          <w:rFonts w:ascii="StobiSerif Regular" w:cs="StobiSerif Regular" w:eastAsia="StobiSerif Regular" w:hAnsi="StobiSerif Regular"/>
          <w:sz w:val="24"/>
          <w:szCs w:val="24"/>
          <w:rtl w:val="0"/>
        </w:rPr>
        <w:t xml:space="preserve"> or poor ICT support, and </w:t>
      </w:r>
      <w:r w:rsidDel="00000000" w:rsidR="00000000" w:rsidRPr="00000000">
        <w:rPr>
          <w:b w:val="1"/>
          <w:sz w:val="24"/>
          <w:szCs w:val="24"/>
          <w:rtl w:val="0"/>
        </w:rPr>
        <w:t xml:space="preserve">non-existent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institutionalized</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practice</w:t>
      </w:r>
      <w:r w:rsidDel="00000000" w:rsidR="00000000" w:rsidRPr="00000000">
        <w:rPr>
          <w:rFonts w:ascii="StobiSerif Regular" w:cs="StobiSerif Regular" w:eastAsia="StobiSerif Regular" w:hAnsi="StobiSerif Regular"/>
          <w:sz w:val="24"/>
          <w:szCs w:val="24"/>
          <w:rtl w:val="0"/>
        </w:rPr>
        <w:t xml:space="preserve"> for the publication of public information are the main reasons for the insufficient active transparency of public enterprises under the jurisdiction of local self-government units.</w:t>
      </w:r>
    </w:p>
    <w:p w:rsidR="00000000" w:rsidDel="00000000" w:rsidP="00000000" w:rsidRDefault="00000000" w:rsidRPr="00000000" w14:paraId="0000002C">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Recommendations for improvement</w:t>
      </w:r>
    </w:p>
    <w:p w:rsidR="00000000" w:rsidDel="00000000" w:rsidP="00000000" w:rsidRDefault="00000000" w:rsidRPr="00000000" w14:paraId="0000002D">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Institutionalizing transparency</w:t>
      </w:r>
      <w:r w:rsidDel="00000000" w:rsidR="00000000" w:rsidRPr="00000000">
        <w:rPr>
          <w:rFonts w:ascii="StobiSerif Regular" w:cs="StobiSerif Regular" w:eastAsia="StobiSerif Regular" w:hAnsi="StobiSerif Regular"/>
          <w:sz w:val="24"/>
          <w:szCs w:val="24"/>
          <w:rtl w:val="0"/>
        </w:rPr>
        <w:t xml:space="preserve">: Introduce internal procedures and assign responsible persons to regularly update websites.</w:t>
      </w:r>
    </w:p>
    <w:p w:rsidR="00000000" w:rsidDel="00000000" w:rsidP="00000000" w:rsidRDefault="00000000" w:rsidRPr="00000000" w14:paraId="0000002E">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br w:type="textWrapping"/>
      </w:r>
      <w:r w:rsidDel="00000000" w:rsidR="00000000" w:rsidRPr="00000000">
        <w:rPr>
          <w:rFonts w:ascii="StobiSerif Regular" w:cs="StobiSerif Regular" w:eastAsia="StobiSerif Regular" w:hAnsi="StobiSerif Regular"/>
          <w:b w:val="1"/>
          <w:sz w:val="24"/>
          <w:szCs w:val="24"/>
          <w:rtl w:val="0"/>
        </w:rPr>
        <w:t xml:space="preserve">Technical and educational support</w:t>
      </w:r>
      <w:r w:rsidDel="00000000" w:rsidR="00000000" w:rsidRPr="00000000">
        <w:rPr>
          <w:rFonts w:ascii="StobiSerif Regular" w:cs="StobiSerif Regular" w:eastAsia="StobiSerif Regular" w:hAnsi="StobiSerif Regular"/>
          <w:sz w:val="24"/>
          <w:szCs w:val="24"/>
          <w:rtl w:val="0"/>
        </w:rPr>
        <w:t xml:space="preserve"> for employees: training on managing web content and publishing information in accordance with legal obligations.</w:t>
      </w:r>
    </w:p>
    <w:p w:rsidR="00000000" w:rsidDel="00000000" w:rsidP="00000000" w:rsidRDefault="00000000" w:rsidRPr="00000000" w14:paraId="0000002F">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Public involvement</w:t>
      </w:r>
      <w:r w:rsidDel="00000000" w:rsidR="00000000" w:rsidRPr="00000000">
        <w:rPr>
          <w:rFonts w:ascii="StobiSerif Regular" w:cs="StobiSerif Regular" w:eastAsia="StobiSerif Regular" w:hAnsi="StobiSerif Regular"/>
          <w:sz w:val="24"/>
          <w:szCs w:val="24"/>
          <w:rtl w:val="0"/>
        </w:rPr>
        <w:t xml:space="preserve">: Creation of mechanisms for feedback from citizens and monitoring by civil society organizations.</w:t>
      </w:r>
    </w:p>
    <w:p w:rsidR="00000000" w:rsidDel="00000000" w:rsidP="00000000" w:rsidRDefault="00000000" w:rsidRPr="00000000" w14:paraId="00000030">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All these recommendations will link active transparency with other accountability and efficiency measures.</w:t>
      </w:r>
    </w:p>
    <w:p w:rsidR="00000000" w:rsidDel="00000000" w:rsidP="00000000" w:rsidRDefault="00000000" w:rsidRPr="00000000" w14:paraId="00000031">
      <w:pPr>
        <w:widowControl w:val="0"/>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Conclusion</w:t>
      </w:r>
    </w:p>
    <w:p w:rsidR="00000000" w:rsidDel="00000000" w:rsidP="00000000" w:rsidRDefault="00000000" w:rsidRPr="00000000" w14:paraId="00000032">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Although there are positive developments overall, the progress of active transparency is </w:t>
      </w:r>
      <w:r w:rsidDel="00000000" w:rsidR="00000000" w:rsidRPr="00000000">
        <w:rPr>
          <w:rFonts w:ascii="StobiSerif Regular" w:cs="StobiSerif Regular" w:eastAsia="StobiSerif Regular" w:hAnsi="StobiSerif Regular"/>
          <w:b w:val="1"/>
          <w:sz w:val="24"/>
          <w:szCs w:val="24"/>
          <w:rtl w:val="0"/>
        </w:rPr>
        <w:t xml:space="preserve">inconsistent and fragmented</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sz w:val="24"/>
          <w:szCs w:val="24"/>
          <w:rtl w:val="0"/>
        </w:rPr>
        <w:t xml:space="preserve">A </w:t>
      </w:r>
      <w:r w:rsidDel="00000000" w:rsidR="00000000" w:rsidRPr="00000000">
        <w:rPr>
          <w:b w:val="1"/>
          <w:sz w:val="24"/>
          <w:szCs w:val="24"/>
          <w:rtl w:val="0"/>
        </w:rPr>
        <w:t xml:space="preserve">more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intensive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institutional</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approach</w:t>
      </w:r>
      <w:r w:rsidDel="00000000" w:rsidR="00000000" w:rsidRPr="00000000">
        <w:rPr>
          <w:rFonts w:ascii="StobiSerif Regular" w:cs="StobiSerif Regular" w:eastAsia="StobiSerif Regular" w:hAnsi="StobiSerif Regular"/>
          <w:sz w:val="24"/>
          <w:szCs w:val="24"/>
          <w:rtl w:val="0"/>
        </w:rPr>
        <w:t xml:space="preserve"> to transparency, with a focus on sustainability, systematicity, and accountability, is needed. Public enterprises should recognize transparency as </w:t>
      </w:r>
      <w:r w:rsidDel="00000000" w:rsidR="00000000" w:rsidRPr="00000000">
        <w:rPr>
          <w:b w:val="1"/>
          <w:sz w:val="24"/>
          <w:szCs w:val="24"/>
          <w:rtl w:val="0"/>
        </w:rPr>
        <w:t xml:space="preserve">a strategic</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component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for</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trust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and efficiency</w:t>
      </w:r>
      <w:r w:rsidDel="00000000" w:rsidR="00000000" w:rsidRPr="00000000">
        <w:rPr>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not just as a formal obligation.</w:t>
      </w:r>
    </w:p>
    <w:p w:rsidR="00000000" w:rsidDel="00000000" w:rsidP="00000000" w:rsidRDefault="00000000" w:rsidRPr="00000000" w14:paraId="00000033">
      <w:pPr>
        <w:widowControl w:val="0"/>
        <w:spacing w:after="280" w:before="28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4">
      <w:pPr>
        <w:widowControl w:val="0"/>
        <w:spacing w:after="280" w:before="280" w:line="240" w:lineRule="auto"/>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Authors:</w:t>
      </w:r>
    </w:p>
    <w:p w:rsidR="00000000" w:rsidDel="00000000" w:rsidP="00000000" w:rsidRDefault="00000000" w:rsidRPr="00000000" w14:paraId="00000035">
      <w:pPr>
        <w:widowControl w:val="0"/>
        <w:spacing w:after="280" w:before="280" w:line="240" w:lineRule="auto"/>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Melanie Ibraimi</w:t>
      </w:r>
    </w:p>
    <w:p w:rsidR="00000000" w:rsidDel="00000000" w:rsidP="00000000" w:rsidRDefault="00000000" w:rsidRPr="00000000" w14:paraId="00000036">
      <w:pPr>
        <w:widowControl w:val="0"/>
        <w:spacing w:after="280" w:before="280"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b w:val="1"/>
          <w:rtl w:val="0"/>
        </w:rPr>
        <w:t xml:space="preserve">Oliver Serafimovski</w:t>
      </w:r>
      <w:r w:rsidDel="00000000" w:rsidR="00000000" w:rsidRPr="00000000">
        <w:rPr>
          <w:rtl w:val="0"/>
        </w:rPr>
      </w:r>
    </w:p>
    <w:p w:rsidR="00000000" w:rsidDel="00000000" w:rsidP="00000000" w:rsidRDefault="00000000" w:rsidRPr="00000000" w14:paraId="00000037">
      <w:pPr>
        <w:widowControl w:val="0"/>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