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8708" w14:textId="22AEB00F" w:rsidR="009C5853" w:rsidRDefault="009C5853" w:rsidP="009C585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q-AL" w:eastAsia="sq-AL"/>
        </w:rPr>
        <w:drawing>
          <wp:inline distT="0" distB="0" distL="0" distR="0" wp14:anchorId="23F75CC3" wp14:editId="04688329">
            <wp:extent cx="314960" cy="661670"/>
            <wp:effectExtent l="0" t="0" r="8890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64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BF88" w14:textId="77777777" w:rsidR="009C5853" w:rsidRDefault="009C5853" w:rsidP="009C5853">
      <w:pPr>
        <w:pStyle w:val="BodyText"/>
        <w:rPr>
          <w:rFonts w:ascii="Arial"/>
          <w:bCs/>
          <w:iCs/>
          <w:sz w:val="20"/>
        </w:rPr>
      </w:pPr>
    </w:p>
    <w:p w14:paraId="11D08EDA" w14:textId="0229CE4C" w:rsidR="009C5853" w:rsidRPr="009C5853" w:rsidRDefault="00177438" w:rsidP="00177438">
      <w:pPr>
        <w:pStyle w:val="BodyText"/>
        <w:jc w:val="center"/>
        <w:rPr>
          <w:rFonts w:ascii="StobiSerif Regular" w:hAnsi="StobiSerif Regular"/>
          <w:b/>
          <w:iCs/>
          <w:sz w:val="24"/>
          <w:szCs w:val="24"/>
        </w:rPr>
      </w:pPr>
      <w:r>
        <w:rPr>
          <w:rFonts w:ascii="StobiSerif Regular" w:hAnsi="StobiSerif Regular"/>
          <w:b/>
          <w:iCs/>
          <w:sz w:val="24"/>
          <w:szCs w:val="24"/>
          <w:lang w:val="sq-AL"/>
        </w:rPr>
        <w:t>Agjencia për mbrojtjen e të drejtës për qasje të lirë në informacione me karakter publik</w:t>
      </w:r>
    </w:p>
    <w:p w14:paraId="0904F041" w14:textId="77777777" w:rsidR="009C5853" w:rsidRDefault="009C5853" w:rsidP="009C5853">
      <w:pPr>
        <w:pStyle w:val="BodyText"/>
        <w:spacing w:before="171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  <w:lang w:val="sq-AL" w:eastAsia="sq-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C8770" wp14:editId="1124B5B2">
                <wp:simplePos x="0" y="0"/>
                <wp:positionH relativeFrom="page">
                  <wp:posOffset>1445005</wp:posOffset>
                </wp:positionH>
                <wp:positionV relativeFrom="paragraph">
                  <wp:posOffset>270310</wp:posOffset>
                </wp:positionV>
                <wp:extent cx="4883785" cy="635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A1FAB6" id="Freeform: Shape 1" o:spid="_x0000_s1026" style="position:absolute;margin-left:113.8pt;margin-top:21.3pt;width:384.5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" path="m4883785,l,,,6096r4883785,l488378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62E124F9" w14:textId="61C0BD92" w:rsidR="009C5853" w:rsidRPr="009C5853" w:rsidRDefault="00177438" w:rsidP="00177438">
      <w:pPr>
        <w:spacing w:before="100" w:beforeAutospacing="1" w:after="100" w:afterAutospacing="1"/>
        <w:jc w:val="center"/>
        <w:rPr>
          <w:rFonts w:ascii="StobiSerif Regular" w:eastAsia="Times New Roman" w:hAnsi="StobiSerif Regular" w:cs="Times New Roman"/>
          <w:b/>
          <w:bCs/>
          <w:sz w:val="32"/>
          <w:szCs w:val="32"/>
          <w:lang w:val="mk-MK"/>
        </w:rPr>
      </w:pPr>
      <w:r>
        <w:rPr>
          <w:rFonts w:ascii="StobiSerif Regular" w:eastAsia="Times New Roman" w:hAnsi="StobiSerif Regular" w:cs="Times New Roman"/>
          <w:b/>
          <w:bCs/>
          <w:sz w:val="32"/>
          <w:szCs w:val="32"/>
          <w:lang w:val="sq-AL"/>
        </w:rPr>
        <w:t>ANALIZA KRAHASUESE E TRANSPARENCËS PROAKTIVE PËR VITIN 2021, 2023 DHE 2025 TË NDËRMARRJEVE PUBLIKE NËN KOMPETENCËN E KOMUNAVE</w:t>
      </w:r>
    </w:p>
    <w:p w14:paraId="677FD07D" w14:textId="6DE36B74" w:rsidR="009C5853" w:rsidRPr="009C5853" w:rsidRDefault="009C5853" w:rsidP="009C5853">
      <w:pPr>
        <w:pStyle w:val="BodyText"/>
        <w:spacing w:before="9"/>
        <w:rPr>
          <w:rFonts w:ascii="Arial"/>
          <w:b/>
          <w:i/>
          <w:sz w:val="13"/>
        </w:rPr>
      </w:pPr>
      <w:r>
        <w:rPr>
          <w:rFonts w:ascii="Arial"/>
          <w:b/>
          <w:i/>
          <w:noProof/>
          <w:sz w:val="13"/>
          <w:lang w:val="sq-AL" w:eastAsia="sq-A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5B379E" wp14:editId="6E718CF3">
                <wp:simplePos x="0" y="0"/>
                <wp:positionH relativeFrom="page">
                  <wp:posOffset>1445005</wp:posOffset>
                </wp:positionH>
                <wp:positionV relativeFrom="paragraph">
                  <wp:posOffset>115930</wp:posOffset>
                </wp:positionV>
                <wp:extent cx="4883785" cy="635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676999" id="Freeform: Shape 1" o:spid="_x0000_s1026" style="position:absolute;margin-left:113.8pt;margin-top:9.15pt;width:384.5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" path="m4883785,l,,,6096r4883785,l488378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77AC431" w14:textId="77777777" w:rsidR="009C5853" w:rsidRDefault="009C5853"/>
    <w:p w14:paraId="244297FE" w14:textId="77777777" w:rsidR="009C5853" w:rsidRDefault="009C5853"/>
    <w:p w14:paraId="5291C36D" w14:textId="77777777" w:rsidR="009C5853" w:rsidRDefault="009C5853"/>
    <w:p w14:paraId="22776DA2" w14:textId="3E7352DD" w:rsidR="007C2042" w:rsidRDefault="009C5853" w:rsidP="009C5853">
      <w:pPr>
        <w:jc w:val="center"/>
      </w:pPr>
      <w:r>
        <w:rPr>
          <w:noProof/>
          <w:lang w:val="sq-AL" w:eastAsia="sq-AL"/>
        </w:rPr>
        <w:drawing>
          <wp:inline distT="0" distB="0" distL="0" distR="0" wp14:anchorId="061E8416" wp14:editId="2CC3C592">
            <wp:extent cx="5446798" cy="4733365"/>
            <wp:effectExtent l="0" t="0" r="1905" b="0"/>
            <wp:docPr id="758165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69" cy="475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BDE23" w14:textId="77777777" w:rsidR="009C5853" w:rsidRDefault="009C5853" w:rsidP="009C5853">
      <w:pPr>
        <w:jc w:val="center"/>
        <w:rPr>
          <w:lang w:val="mk-MK"/>
        </w:rPr>
      </w:pPr>
    </w:p>
    <w:p w14:paraId="56CDF510" w14:textId="681A6082" w:rsidR="009C5853" w:rsidRPr="009C5853" w:rsidRDefault="00177438" w:rsidP="009C5853">
      <w:pPr>
        <w:jc w:val="center"/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sq-AL"/>
        </w:rPr>
        <w:t>Shkup, prill, viti</w:t>
      </w:r>
      <w:r>
        <w:rPr>
          <w:rFonts w:ascii="StobiSerif Regular" w:hAnsi="StobiSerif Regular"/>
          <w:b/>
          <w:bCs/>
          <w:lang w:val="mk-MK"/>
        </w:rPr>
        <w:t xml:space="preserve"> 2025</w:t>
      </w:r>
    </w:p>
    <w:p w14:paraId="0301DCF7" w14:textId="77777777" w:rsidR="00177438" w:rsidRDefault="00177438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</w:p>
    <w:p w14:paraId="1BCDCA4C" w14:textId="77777777" w:rsidR="00177438" w:rsidRDefault="00177438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</w:p>
    <w:p w14:paraId="4C59083C" w14:textId="76B1A7B0" w:rsidR="00177438" w:rsidRPr="00177438" w:rsidRDefault="00177438" w:rsidP="00177438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lastRenderedPageBreak/>
        <w:t xml:space="preserve">Metodologjia e analizës statistikore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kuantative</w:t>
      </w:r>
      <w:r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mbështetet në të dhënat e mar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rura</w:t>
      </w: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nga monitorimi i kryer në vitet 2021, 2023 dhe 2025.</w:t>
      </w:r>
    </w:p>
    <w:p w14:paraId="0E9DCB41" w14:textId="05F91AB6" w:rsidR="00177438" w:rsidRPr="00177438" w:rsidRDefault="00177438" w:rsidP="00177438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Nga Lista e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Poseduesve</w:t>
      </w: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, për këtë analizë u mor një mostër përfaqësuese prej 21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 xml:space="preserve">poseduesve të </w:t>
      </w: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informacion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eve</w:t>
      </w: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>, nga institucionet e monitoruara deri më tani, të cilat janë themeluar dhe janë nën juridiksionin e njësive të vetëqeverisjes vendore dhe indeksi i tyre i transparencës aktive.</w:t>
      </w:r>
    </w:p>
    <w:p w14:paraId="568B2DD7" w14:textId="77777777" w:rsidR="00177438" w:rsidRPr="00177438" w:rsidRDefault="00177438" w:rsidP="00177438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>Analiza zbulon statusin dhe suksesin e këtyre institucioneve në punën e tyre në fushën e transparencës dhe llogaridhënies ndaj qytetarëve në periudhën e kaluar.</w:t>
      </w:r>
    </w:p>
    <w:p w14:paraId="59EE3B5F" w14:textId="627A9073" w:rsidR="009C5853" w:rsidRPr="009C5853" w:rsidRDefault="00177438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177438">
        <w:rPr>
          <w:rFonts w:ascii="StobiSerif Regular" w:eastAsia="Times New Roman" w:hAnsi="StobiSerif Regular" w:cs="Times New Roman"/>
          <w:sz w:val="24"/>
          <w:szCs w:val="24"/>
          <w:lang w:val="mk-MK"/>
        </w:rPr>
        <w:t>Qëllimi është të vlerësohet niveli i informacionit proaktiv që u ofrohet qytetarëve, nëpërmjet publikimit të informacionit publik në faqet e tyre të internetit.</w:t>
      </w:r>
    </w:p>
    <w:p w14:paraId="2368904B" w14:textId="3B1E2ED8" w:rsidR="009C5853" w:rsidRPr="009C5853" w:rsidRDefault="002756C1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sq-AL"/>
        </w:rPr>
        <w:t>Udhëzime të rëndësishme sipas viteve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>:</w:t>
      </w:r>
    </w:p>
    <w:p w14:paraId="05D31B47" w14:textId="19612B2B" w:rsidR="004E723A" w:rsidRDefault="004E723A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Luhatjet më të mëdha vërehen në mesin e ndërmarrjeve të nivelit të lartë - disa janë në rënie, ndërsa të tjerat po përparojnë. Kjo tregon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mospërputhje në ruajtjen e standardeve të transparencës.</w:t>
      </w:r>
    </w:p>
    <w:p w14:paraId="71A71692" w14:textId="2BBC1FBC" w:rsidR="009C5853" w:rsidRPr="009C5853" w:rsidRDefault="004E723A" w:rsidP="009C5853">
      <w:pPr>
        <w:spacing w:before="100" w:beforeAutospacing="1" w:after="100" w:afterAutospacing="1"/>
        <w:jc w:val="both"/>
        <w:outlineLvl w:val="3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sq-AL"/>
        </w:rPr>
        <w:t xml:space="preserve">Viti </w:t>
      </w:r>
      <w:r>
        <w:rPr>
          <w:rFonts w:ascii="StobiSerif Regular" w:eastAsia="Times New Roman" w:hAnsi="StobiSerif Regular" w:cs="Times New Roman"/>
          <w:b/>
          <w:bCs/>
          <w:sz w:val="24"/>
          <w:szCs w:val="24"/>
        </w:rPr>
        <w:t>2021</w:t>
      </w:r>
    </w:p>
    <w:p w14:paraId="74021D52" w14:textId="6E2588E4" w:rsidR="004E723A" w:rsidRPr="004E723A" w:rsidRDefault="004E723A" w:rsidP="004E723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 xml:space="preserve">22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kishin një nivel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shumë të ulët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transparence</w:t>
      </w:r>
    </w:p>
    <w:p w14:paraId="102BD265" w14:textId="24E45931" w:rsidR="004E723A" w:rsidRPr="004E723A" w:rsidRDefault="004E723A" w:rsidP="004E723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5 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të nivelit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të ulët</w:t>
      </w:r>
    </w:p>
    <w:p w14:paraId="7C332D0D" w14:textId="5A862EF0" w:rsidR="004E723A" w:rsidRPr="004E723A" w:rsidRDefault="004E723A" w:rsidP="004E723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8 ndërmarrje të mesme</w:t>
      </w:r>
    </w:p>
    <w:p w14:paraId="52544D0C" w14:textId="12BAEC42" w:rsidR="004E723A" w:rsidRPr="004E723A" w:rsidRDefault="004E723A" w:rsidP="004E723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3 ndërmarrje të nivelit të lartë</w:t>
      </w:r>
    </w:p>
    <w:p w14:paraId="673E1CE2" w14:textId="77777777" w:rsidR="004E723A" w:rsidRPr="004E723A" w:rsidRDefault="004E723A" w:rsidP="004E723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Monitorimi i faqeve të internetit të mbajtësve zbuloi transparencë të ulët, por pa një ndryshim të rëndësishëm në përqindje midis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poseduesve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të monitoruar.</w:t>
      </w:r>
    </w:p>
    <w:p w14:paraId="5996BAC8" w14:textId="3C45744F" w:rsidR="009C5853" w:rsidRPr="004E723A" w:rsidRDefault="004E723A" w:rsidP="004E723A">
      <w:pPr>
        <w:widowControl/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sq-AL"/>
        </w:rPr>
        <w:t xml:space="preserve">Viti </w:t>
      </w:r>
      <w:r w:rsidR="009C5853" w:rsidRPr="004E723A">
        <w:rPr>
          <w:rFonts w:ascii="StobiSerif Regular" w:eastAsia="Times New Roman" w:hAnsi="StobiSerif Regular" w:cs="Times New Roman"/>
          <w:b/>
          <w:bCs/>
          <w:sz w:val="24"/>
          <w:szCs w:val="24"/>
        </w:rPr>
        <w:t>2023</w:t>
      </w:r>
    </w:p>
    <w:p w14:paraId="727DCF03" w14:textId="01ABB66D" w:rsidR="004E723A" w:rsidRPr="004E723A" w:rsidRDefault="004E723A" w:rsidP="004E723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Ka një rritje të dukshme në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nivelin mesatar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të transparencës.</w:t>
      </w:r>
    </w:p>
    <w:p w14:paraId="5F7B8F70" w14:textId="672703D3" w:rsidR="004E723A" w:rsidRPr="004E723A" w:rsidRDefault="004E723A" w:rsidP="004E723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Niveli i lartë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ka shënuar një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rënie të lehtë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223AA484" w14:textId="28006B94" w:rsidR="004E723A" w:rsidRPr="004E723A" w:rsidRDefault="004E723A" w:rsidP="004E723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Transparenca e ulët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mbetet</w:t>
      </w:r>
      <w:r>
        <w:rPr>
          <w:rFonts w:ascii="StobiSerif Regular" w:eastAsia="Times New Roman" w:hAnsi="StobiSerif Regular" w:cs="Times New Roman"/>
          <w:sz w:val="24"/>
          <w:szCs w:val="24"/>
        </w:rPr>
        <w:t xml:space="preserve"> dominuese midis disa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poseduesve.</w:t>
      </w:r>
    </w:p>
    <w:p w14:paraId="68137A60" w14:textId="4DC2731A" w:rsidR="009C5853" w:rsidRPr="004E723A" w:rsidRDefault="004E723A" w:rsidP="002413B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>Tregues specifikë:</w:t>
      </w:r>
    </w:p>
    <w:p w14:paraId="33DCE70C" w14:textId="1AF02C72" w:rsidR="004E723A" w:rsidRPr="004E723A" w:rsidRDefault="004E723A" w:rsidP="004E723A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o 2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ruajtën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transparencë të lartë</w:t>
      </w:r>
    </w:p>
    <w:p w14:paraId="3C987673" w14:textId="388CB0E3" w:rsidR="004E723A" w:rsidRPr="004E723A" w:rsidRDefault="004E723A" w:rsidP="004E723A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o 6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mbetën në një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 xml:space="preserve">nivel të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  <w:lang w:val="sq-AL"/>
        </w:rPr>
        <w:t>mesëm</w:t>
      </w:r>
    </w:p>
    <w:p w14:paraId="4004F15E" w14:textId="1A624009" w:rsidR="004E723A" w:rsidRPr="004E723A" w:rsidRDefault="004E723A" w:rsidP="004E723A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o 1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mbeti me një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nivel të ulët</w:t>
      </w:r>
    </w:p>
    <w:p w14:paraId="3B187516" w14:textId="77777777" w:rsidR="004E723A" w:rsidRPr="004E723A" w:rsidRDefault="004E723A" w:rsidP="004E723A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o 1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u kthye nga </w:t>
      </w:r>
      <w:r w:rsidRPr="004E723A">
        <w:rPr>
          <w:rFonts w:ascii="StobiSerif Regular" w:eastAsia="Times New Roman" w:hAnsi="StobiSerif Regular" w:cs="Times New Roman"/>
          <w:b/>
          <w:sz w:val="24"/>
          <w:szCs w:val="24"/>
        </w:rPr>
        <w:t>niveli i lartë në atë të ulët, dhe një tjetër nga niveli i lartë në atë të mesëm të transparencës</w:t>
      </w:r>
    </w:p>
    <w:p w14:paraId="1F77983D" w14:textId="74A7A59F" w:rsidR="009C5853" w:rsidRPr="009C5853" w:rsidRDefault="004E723A" w:rsidP="004E723A">
      <w:pPr>
        <w:widowControl/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b/>
          <w:sz w:val="24"/>
          <w:szCs w:val="24"/>
          <w:lang w:val="sq-AL"/>
        </w:rPr>
        <w:t xml:space="preserve">Viti </w:t>
      </w:r>
      <w:r w:rsidR="009C5853" w:rsidRPr="009C585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2025 </w:t>
      </w:r>
    </w:p>
    <w:p w14:paraId="51EFFCF1" w14:textId="10253E6C" w:rsidR="004E723A" w:rsidRPr="004E723A" w:rsidRDefault="004E723A" w:rsidP="004E723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Niveli i përgjithshëm i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poseduesve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të monitoruar po lëviz drejt një niveli mesatar transparence</w:t>
      </w:r>
    </w:p>
    <w:p w14:paraId="7EC797C4" w14:textId="00E56759" w:rsidR="004E723A" w:rsidRPr="004E723A" w:rsidRDefault="004E723A" w:rsidP="004E723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4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mbeten në një nivel të ulët</w:t>
      </w:r>
    </w:p>
    <w:p w14:paraId="4A1641D3" w14:textId="720F4213" w:rsidR="004E723A" w:rsidRPr="004E723A" w:rsidRDefault="004E723A" w:rsidP="004E723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1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ka reduktuar transparencën (mungesë e informacionit publik të publikuar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>ë faqen e internetit)</w:t>
      </w:r>
    </w:p>
    <w:p w14:paraId="52E80CCD" w14:textId="68A29832" w:rsidR="004E723A" w:rsidRPr="004E723A" w:rsidRDefault="004E723A" w:rsidP="004E723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1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ruan nivelin më të lartë të transparencës për tre vjet me radhë</w:t>
      </w:r>
    </w:p>
    <w:p w14:paraId="2B3FE373" w14:textId="16080939" w:rsidR="004E723A" w:rsidRPr="004E723A" w:rsidRDefault="004E723A" w:rsidP="004E723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1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bëri kalimin nga niveli i ulët në atë të lartë për dy vjet rresht</w:t>
      </w:r>
    </w:p>
    <w:p w14:paraId="22007D8E" w14:textId="0BA19C6B" w:rsidR="004E723A" w:rsidRDefault="004E723A" w:rsidP="004E723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2 </w:t>
      </w:r>
      <w:r>
        <w:rPr>
          <w:rFonts w:ascii="StobiSerif Regular" w:eastAsia="Times New Roman" w:hAnsi="StobiSerif Regular" w:cs="Times New Roman"/>
          <w:sz w:val="24"/>
          <w:szCs w:val="24"/>
          <w:lang w:val="sq-AL"/>
        </w:rPr>
        <w:t>ndërmarrje</w:t>
      </w:r>
      <w:r w:rsidRPr="004E723A">
        <w:rPr>
          <w:rFonts w:ascii="StobiSerif Regular" w:eastAsia="Times New Roman" w:hAnsi="StobiSerif Regular" w:cs="Times New Roman"/>
          <w:sz w:val="24"/>
          <w:szCs w:val="24"/>
        </w:rPr>
        <w:t xml:space="preserve"> mbeten me një nivel të ulët transparence për të dytin vit radhazi</w:t>
      </w:r>
    </w:p>
    <w:p w14:paraId="11CD567D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9C5853">
        <w:rPr>
          <w:rFonts w:ascii="StobiSerif Regular" w:hAnsi="StobiSerif Regular"/>
          <w:noProof/>
          <w:sz w:val="24"/>
          <w:szCs w:val="24"/>
          <w:lang w:val="sq-AL" w:eastAsia="sq-AL"/>
        </w:rPr>
        <w:lastRenderedPageBreak/>
        <w:drawing>
          <wp:inline distT="0" distB="0" distL="0" distR="0" wp14:anchorId="35C48890" wp14:editId="2ACB8B6A">
            <wp:extent cx="5734050" cy="3562350"/>
            <wp:effectExtent l="0" t="0" r="0" b="0"/>
            <wp:docPr id="167013137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7BC22B" w14:textId="7B24C5DD" w:rsidR="009C5853" w:rsidRPr="009C5853" w:rsidRDefault="004E723A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</w:pPr>
      <w:r w:rsidRPr="004E723A">
        <w:rPr>
          <w:rFonts w:ascii="StobiSerif Regular" w:hAnsi="StobiSerif Regular"/>
          <w:sz w:val="24"/>
          <w:szCs w:val="24"/>
        </w:rPr>
        <w:t xml:space="preserve">Paraqitja grafike tregon se të gjitha këto luhatje në punën e institucioneve reflektohen në një rritje përqindjeje në indeksin e transparencës dhe llogaridhënies. Një ndryshim i madh vërehet midis </w:t>
      </w:r>
      <w:r>
        <w:rPr>
          <w:rFonts w:ascii="StobiSerif Regular" w:hAnsi="StobiSerif Regular"/>
          <w:sz w:val="24"/>
          <w:szCs w:val="24"/>
          <w:lang w:val="sq-AL"/>
        </w:rPr>
        <w:t>poseduesve</w:t>
      </w:r>
      <w:r w:rsidRPr="004E723A">
        <w:rPr>
          <w:rFonts w:ascii="StobiSerif Regular" w:hAnsi="StobiSerif Regular"/>
          <w:sz w:val="24"/>
          <w:szCs w:val="24"/>
        </w:rPr>
        <w:t xml:space="preserve"> me një nivel të ulët transparence. Vetëm katër </w:t>
      </w:r>
      <w:r w:rsidR="00A01F0B">
        <w:rPr>
          <w:rFonts w:ascii="StobiSerif Regular" w:hAnsi="StobiSerif Regular"/>
          <w:sz w:val="24"/>
          <w:szCs w:val="24"/>
          <w:lang w:val="sq-AL"/>
        </w:rPr>
        <w:t>posedues</w:t>
      </w:r>
      <w:r w:rsidRPr="004E723A">
        <w:rPr>
          <w:rFonts w:ascii="StobiSerif Regular" w:hAnsi="StobiSerif Regular"/>
          <w:sz w:val="24"/>
          <w:szCs w:val="24"/>
        </w:rPr>
        <w:t xml:space="preserve"> kanë pasur transparencë të ulët për të tre vitet, ndërsa mbajtësit e mbetur kanë mbetur me nivele mesatare dhe të ulëta transparence. Analiza tregon se </w:t>
      </w:r>
      <w:r w:rsidR="00A01F0B">
        <w:rPr>
          <w:rFonts w:ascii="StobiSerif Regular" w:hAnsi="StobiSerif Regular"/>
          <w:sz w:val="24"/>
          <w:szCs w:val="24"/>
          <w:lang w:val="sq-AL"/>
        </w:rPr>
        <w:t>posedues</w:t>
      </w:r>
      <w:r w:rsidR="00A01F0B">
        <w:rPr>
          <w:rFonts w:ascii="StobiSerif Regular" w:hAnsi="StobiSerif Regular"/>
          <w:sz w:val="24"/>
          <w:szCs w:val="24"/>
          <w:lang w:val="sq-AL"/>
        </w:rPr>
        <w:t>it</w:t>
      </w:r>
      <w:r w:rsidR="00A01F0B" w:rsidRPr="004E723A">
        <w:rPr>
          <w:rFonts w:ascii="StobiSerif Regular" w:hAnsi="StobiSerif Regular"/>
          <w:sz w:val="24"/>
          <w:szCs w:val="24"/>
        </w:rPr>
        <w:t xml:space="preserve"> </w:t>
      </w:r>
      <w:r w:rsidRPr="004E723A">
        <w:rPr>
          <w:rFonts w:ascii="StobiSerif Regular" w:hAnsi="StobiSerif Regular"/>
          <w:sz w:val="24"/>
          <w:szCs w:val="24"/>
        </w:rPr>
        <w:t>duhet të investojnë më shumë në publikimin e informacionit në faqet e tyre të internetit, duke demonstruar kështu llogaridhënie në operacionet e tyre dhe duke e sjellë punën e tyre më afër përdoruesve të tyre fundorë, pra qytetarëve.</w:t>
      </w:r>
    </w:p>
    <w:p w14:paraId="65A4878B" w14:textId="77777777" w:rsidR="00D70363" w:rsidRPr="00D70363" w:rsidRDefault="00D70363" w:rsidP="00D7036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D70363">
        <w:rPr>
          <w:rFonts w:ascii="StobiSerif Regular" w:eastAsia="Times New Roman" w:hAnsi="StobiSerif Regular" w:cs="Times New Roman"/>
          <w:sz w:val="24"/>
          <w:szCs w:val="24"/>
          <w:lang w:val="mk-MK"/>
        </w:rPr>
        <w:t>Mungesa e informacionit të publikuar në faqet e internetit (siç janë: raportet e punës, buxhetet, prokurimet publike, aktet dhe vendimet), mbështetja e pamjaftueshme ose e dobët e TIK-ut, si dhe praktika inekzistente e institucionalizuar për publikimin e informacionit publik janë arsyet kryesore për transparencën e pamjaftueshme aktive të ndërmarrjeve publike nën juridiksionin e njësive të vetëqeverisjes vendore.</w:t>
      </w:r>
    </w:p>
    <w:p w14:paraId="73F0C2EC" w14:textId="77777777" w:rsidR="00D70363" w:rsidRPr="00D70363" w:rsidRDefault="00D70363" w:rsidP="00D7036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b/>
          <w:sz w:val="24"/>
          <w:szCs w:val="24"/>
          <w:lang w:val="mk-MK"/>
        </w:rPr>
      </w:pPr>
      <w:r w:rsidRPr="00D70363">
        <w:rPr>
          <w:rFonts w:ascii="StobiSerif Regular" w:eastAsia="Times New Roman" w:hAnsi="StobiSerif Regular" w:cs="Times New Roman"/>
          <w:b/>
          <w:sz w:val="24"/>
          <w:szCs w:val="24"/>
          <w:lang w:val="mk-MK"/>
        </w:rPr>
        <w:t>Rekomandime për përmirësim</w:t>
      </w:r>
    </w:p>
    <w:p w14:paraId="7672D95B" w14:textId="77777777" w:rsidR="00D70363" w:rsidRPr="00D70363" w:rsidRDefault="00D70363" w:rsidP="00D7036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D70363">
        <w:rPr>
          <w:rFonts w:ascii="StobiSerif Regular" w:eastAsia="Times New Roman" w:hAnsi="StobiSerif Regular" w:cs="Times New Roman"/>
          <w:b/>
          <w:sz w:val="24"/>
          <w:szCs w:val="24"/>
          <w:lang w:val="mk-MK"/>
        </w:rPr>
        <w:t>Institucionalizimi i transparencës:</w:t>
      </w:r>
      <w:r w:rsidRPr="00D7036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Futja e procedurave të brendshme dhe personave përgjegjës për përditësimin e rregullt të faqeve të internetit.</w:t>
      </w:r>
    </w:p>
    <w:p w14:paraId="2F09818E" w14:textId="5849AE3E" w:rsidR="00D70363" w:rsidRPr="00D70363" w:rsidRDefault="00D70363" w:rsidP="00D7036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D70363">
        <w:rPr>
          <w:rFonts w:ascii="StobiSerif Regular" w:eastAsia="Times New Roman" w:hAnsi="StobiSerif Regular" w:cs="Times New Roman"/>
          <w:b/>
          <w:sz w:val="24"/>
          <w:szCs w:val="24"/>
          <w:lang w:val="mk-MK"/>
        </w:rPr>
        <w:t xml:space="preserve">Mbështetje teknike dhe edukative për </w:t>
      </w:r>
      <w:r>
        <w:rPr>
          <w:rFonts w:ascii="StobiSerif Regular" w:eastAsia="Times New Roman" w:hAnsi="StobiSerif Regular" w:cs="Times New Roman"/>
          <w:b/>
          <w:sz w:val="24"/>
          <w:szCs w:val="24"/>
          <w:lang w:val="sq-AL"/>
        </w:rPr>
        <w:t>të punësuarit</w:t>
      </w:r>
      <w:r w:rsidRPr="00D7036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– trajnim mbi menaxhimin e përmbajtjes së internetit dhe publikimin e informacionit në përputhje me detyrimet ligjore.</w:t>
      </w:r>
    </w:p>
    <w:p w14:paraId="1ABBE40E" w14:textId="77777777" w:rsidR="00D70363" w:rsidRPr="00D70363" w:rsidRDefault="00D70363" w:rsidP="00D7036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D70363">
        <w:rPr>
          <w:rFonts w:ascii="StobiSerif Regular" w:eastAsia="Times New Roman" w:hAnsi="StobiSerif Regular" w:cs="Times New Roman"/>
          <w:b/>
          <w:sz w:val="24"/>
          <w:szCs w:val="24"/>
          <w:lang w:val="mk-MK"/>
        </w:rPr>
        <w:t>Përfshirja e publikut:</w:t>
      </w:r>
      <w:r w:rsidRPr="00D7036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 Krijimi i mekanizmave për reagimet e qytetarëve dhe monitorimin nga organizatat e shoqërisë civile.</w:t>
      </w:r>
    </w:p>
    <w:p w14:paraId="0D88378E" w14:textId="35289ACB" w:rsidR="00D70363" w:rsidRDefault="00D70363" w:rsidP="00D7036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D70363">
        <w:rPr>
          <w:rFonts w:ascii="StobiSerif Regular" w:eastAsia="Times New Roman" w:hAnsi="StobiSerif Regular" w:cs="Times New Roman"/>
          <w:sz w:val="24"/>
          <w:szCs w:val="24"/>
          <w:lang w:val="mk-MK"/>
        </w:rPr>
        <w:t>Të gjitha këto rekomandime do të çojnë në lidhjen e nivelit të transparencës aktive me masa të tjera të llogaridhënies dhe efikasitetit.</w:t>
      </w:r>
    </w:p>
    <w:p w14:paraId="3A538648" w14:textId="12792ADC" w:rsidR="009C5853" w:rsidRPr="00D70363" w:rsidRDefault="00D70363" w:rsidP="009C5853">
      <w:pPr>
        <w:spacing w:before="100" w:beforeAutospacing="1" w:after="100" w:afterAutospacing="1"/>
        <w:jc w:val="both"/>
        <w:outlineLvl w:val="2"/>
        <w:rPr>
          <w:rFonts w:ascii="StobiSerif Regular" w:eastAsia="Times New Roman" w:hAnsi="StobiSerif Regular" w:cs="Times New Roman"/>
          <w:b/>
          <w:bCs/>
          <w:sz w:val="24"/>
          <w:szCs w:val="24"/>
          <w:lang w:val="sq-AL"/>
        </w:rPr>
      </w:pPr>
      <w:r>
        <w:rPr>
          <w:rFonts w:ascii="StobiSerif Regular" w:eastAsia="Times New Roman" w:hAnsi="StobiSerif Regular" w:cs="Times New Roman"/>
          <w:b/>
          <w:bCs/>
          <w:sz w:val="24"/>
          <w:szCs w:val="24"/>
          <w:lang w:val="sq-AL"/>
        </w:rPr>
        <w:lastRenderedPageBreak/>
        <w:t xml:space="preserve">Konkluzë </w:t>
      </w:r>
    </w:p>
    <w:p w14:paraId="176860C0" w14:textId="5FFB5053" w:rsidR="00D70363" w:rsidRDefault="00D70363" w:rsidP="009C5853">
      <w:pPr>
        <w:spacing w:before="100" w:beforeAutospacing="1" w:after="100" w:afterAutospacing="1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70363">
        <w:rPr>
          <w:rFonts w:ascii="StobiSerif Regular" w:eastAsia="Times New Roman" w:hAnsi="StobiSerif Regular" w:cs="Times New Roman"/>
          <w:sz w:val="24"/>
          <w:szCs w:val="24"/>
        </w:rPr>
        <w:t xml:space="preserve">Ndërkohë që ka zhvillime pozitive në përgjithësi, progresi në transparencën aktive është i </w:t>
      </w:r>
      <w:r w:rsidRPr="00D70363">
        <w:rPr>
          <w:rFonts w:ascii="StobiSerif Regular" w:eastAsia="Times New Roman" w:hAnsi="StobiSerif Regular" w:cs="Times New Roman"/>
          <w:b/>
          <w:sz w:val="24"/>
          <w:szCs w:val="24"/>
        </w:rPr>
        <w:t>paqëndrueshëm dhe i fragmentuar.</w:t>
      </w:r>
      <w:r w:rsidRPr="00D70363">
        <w:rPr>
          <w:rFonts w:ascii="StobiSerif Regular" w:eastAsia="Times New Roman" w:hAnsi="StobiSerif Regular" w:cs="Times New Roman"/>
          <w:sz w:val="24"/>
          <w:szCs w:val="24"/>
        </w:rPr>
        <w:t xml:space="preserve"> Nevojitet një </w:t>
      </w:r>
      <w:r w:rsidRPr="00D70363">
        <w:rPr>
          <w:rFonts w:ascii="StobiSerif Regular" w:eastAsia="Times New Roman" w:hAnsi="StobiSerif Regular" w:cs="Times New Roman"/>
          <w:b/>
          <w:sz w:val="24"/>
          <w:szCs w:val="24"/>
        </w:rPr>
        <w:t>qasje më intensive institucionale</w:t>
      </w:r>
      <w:r w:rsidRPr="00D70363">
        <w:rPr>
          <w:rFonts w:ascii="StobiSerif Regular" w:eastAsia="Times New Roman" w:hAnsi="StobiSerif Regular" w:cs="Times New Roman"/>
          <w:sz w:val="24"/>
          <w:szCs w:val="24"/>
        </w:rPr>
        <w:t xml:space="preserve"> ndaj transparencës, me fokus në qëndrueshmëri, sistematikë dhe llogaridhënie. Ndërmarrjet publike duhet ta njohin transparencën si një </w:t>
      </w:r>
      <w:r w:rsidRPr="00D70363">
        <w:rPr>
          <w:rFonts w:ascii="StobiSerif Regular" w:eastAsia="Times New Roman" w:hAnsi="StobiSerif Regular" w:cs="Times New Roman"/>
          <w:b/>
          <w:sz w:val="24"/>
          <w:szCs w:val="24"/>
        </w:rPr>
        <w:t>komponent strategjik për besim dhe efikasitet,</w:t>
      </w:r>
      <w:r w:rsidRPr="00D70363">
        <w:rPr>
          <w:rFonts w:ascii="StobiSerif Regular" w:eastAsia="Times New Roman" w:hAnsi="StobiSerif Regular" w:cs="Times New Roman"/>
          <w:sz w:val="24"/>
          <w:szCs w:val="24"/>
        </w:rPr>
        <w:t xml:space="preserve"> jo vetëm si një detyrim formal.</w:t>
      </w:r>
    </w:p>
    <w:p w14:paraId="61ABF5C5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hAnsi="StobiSerif Regular"/>
          <w:sz w:val="24"/>
          <w:szCs w:val="24"/>
          <w:lang w:val="mk-MK"/>
        </w:rPr>
      </w:pPr>
    </w:p>
    <w:p w14:paraId="1D005E89" w14:textId="2CEDA593" w:rsidR="009C5853" w:rsidRPr="009C5853" w:rsidRDefault="00D70363" w:rsidP="009C5853">
      <w:pPr>
        <w:spacing w:before="100" w:beforeAutospacing="1" w:after="100" w:afterAutospacing="1"/>
        <w:jc w:val="both"/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sq-AL"/>
        </w:rPr>
        <w:t>Autorë</w:t>
      </w:r>
      <w:r w:rsidR="009C5853" w:rsidRPr="009C5853">
        <w:rPr>
          <w:rFonts w:ascii="StobiSerif Regular" w:hAnsi="StobiSerif Regular"/>
          <w:b/>
          <w:bCs/>
          <w:lang w:val="mk-MK"/>
        </w:rPr>
        <w:t>:</w:t>
      </w:r>
    </w:p>
    <w:p w14:paraId="32376AB0" w14:textId="487891D2" w:rsidR="009C5853" w:rsidRPr="009C5853" w:rsidRDefault="00D70363" w:rsidP="009C5853">
      <w:pPr>
        <w:spacing w:before="100" w:beforeAutospacing="1" w:after="100" w:afterAutospacing="1"/>
        <w:jc w:val="both"/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sq-AL"/>
        </w:rPr>
        <w:t>Mellani Ibraimi</w:t>
      </w:r>
      <w:bookmarkStart w:id="0" w:name="_GoBack"/>
      <w:bookmarkEnd w:id="0"/>
    </w:p>
    <w:p w14:paraId="1304AF44" w14:textId="77777777" w:rsidR="009C5853" w:rsidRPr="009C5853" w:rsidRDefault="009C5853" w:rsidP="009C5853">
      <w:pPr>
        <w:spacing w:before="100" w:beforeAutospacing="1" w:after="100" w:afterAutospacing="1"/>
        <w:jc w:val="both"/>
        <w:rPr>
          <w:rFonts w:ascii="StobiSerif Regular" w:hAnsi="StobiSerif Regular"/>
          <w:lang w:val="mk-MK"/>
        </w:rPr>
      </w:pPr>
      <w:r w:rsidRPr="009C5853">
        <w:rPr>
          <w:rFonts w:ascii="StobiSerif Regular" w:hAnsi="StobiSerif Regular"/>
          <w:b/>
          <w:bCs/>
          <w:lang w:val="mk-MK"/>
        </w:rPr>
        <w:t>Оливер Серафимовски</w:t>
      </w:r>
    </w:p>
    <w:p w14:paraId="6F5EE82B" w14:textId="77777777" w:rsidR="009C5853" w:rsidRPr="009C5853" w:rsidRDefault="009C5853" w:rsidP="009C5853">
      <w:pPr>
        <w:jc w:val="both"/>
        <w:rPr>
          <w:rFonts w:ascii="StobiSerif Regular" w:hAnsi="StobiSerif Regular"/>
          <w:sz w:val="24"/>
          <w:szCs w:val="24"/>
          <w:lang w:val="mk-MK"/>
        </w:rPr>
      </w:pPr>
    </w:p>
    <w:sectPr w:rsidR="009C5853" w:rsidRPr="009C5853" w:rsidSect="009C5853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7DB4" w14:textId="77777777" w:rsidR="00502F00" w:rsidRDefault="00502F00" w:rsidP="009C5853">
      <w:r>
        <w:separator/>
      </w:r>
    </w:p>
  </w:endnote>
  <w:endnote w:type="continuationSeparator" w:id="0">
    <w:p w14:paraId="6A39FF1F" w14:textId="77777777" w:rsidR="00502F00" w:rsidRDefault="00502F00" w:rsidP="009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05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07BB6" w14:textId="74725DA5" w:rsidR="009C5853" w:rsidRDefault="009C5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3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5984FF" w14:textId="77777777" w:rsidR="009C5853" w:rsidRDefault="009C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B850" w14:textId="77777777" w:rsidR="00502F00" w:rsidRDefault="00502F00" w:rsidP="009C5853">
      <w:r>
        <w:separator/>
      </w:r>
    </w:p>
  </w:footnote>
  <w:footnote w:type="continuationSeparator" w:id="0">
    <w:p w14:paraId="4AC1E5D9" w14:textId="77777777" w:rsidR="00502F00" w:rsidRDefault="00502F00" w:rsidP="009C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567"/>
    <w:multiLevelType w:val="multilevel"/>
    <w:tmpl w:val="810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E5D4A"/>
    <w:multiLevelType w:val="multilevel"/>
    <w:tmpl w:val="5CA2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B7DBA"/>
    <w:multiLevelType w:val="multilevel"/>
    <w:tmpl w:val="55C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53"/>
    <w:rsid w:val="000F6AD3"/>
    <w:rsid w:val="00177438"/>
    <w:rsid w:val="001E7998"/>
    <w:rsid w:val="00234E02"/>
    <w:rsid w:val="002756C1"/>
    <w:rsid w:val="00452F87"/>
    <w:rsid w:val="004E723A"/>
    <w:rsid w:val="00502F00"/>
    <w:rsid w:val="007C2042"/>
    <w:rsid w:val="00887F6B"/>
    <w:rsid w:val="009007FB"/>
    <w:rsid w:val="009C5853"/>
    <w:rsid w:val="00A01F0B"/>
    <w:rsid w:val="00B9520B"/>
    <w:rsid w:val="00CC3C38"/>
    <w:rsid w:val="00D70363"/>
    <w:rsid w:val="00D943A3"/>
    <w:rsid w:val="00DF10FE"/>
    <w:rsid w:val="00F7139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C0B5"/>
  <w15:chartTrackingRefBased/>
  <w15:docId w15:val="{59B4273A-5F01-4A94-AFC1-0414673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tobiSerif Regular" w:eastAsiaTheme="minorHAnsi" w:hAnsi="StobiSerif Regular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5853"/>
  </w:style>
  <w:style w:type="character" w:customStyle="1" w:styleId="BodyTextChar">
    <w:name w:val="Body Text Char"/>
    <w:basedOn w:val="DefaultParagraphFont"/>
    <w:link w:val="BodyText"/>
    <w:uiPriority w:val="1"/>
    <w:rsid w:val="009C5853"/>
    <w:rPr>
      <w:rFonts w:ascii="Calibri" w:eastAsia="Calibri" w:hAnsi="Calibri" w:cs="Calibri"/>
      <w:sz w:val="22"/>
      <w:szCs w:val="22"/>
      <w:lang w:val="bg-BG"/>
    </w:rPr>
  </w:style>
  <w:style w:type="paragraph" w:styleId="Title">
    <w:name w:val="Title"/>
    <w:basedOn w:val="Normal"/>
    <w:link w:val="TitleChar"/>
    <w:uiPriority w:val="10"/>
    <w:qFormat/>
    <w:rsid w:val="009C5853"/>
    <w:pPr>
      <w:ind w:left="19" w:right="22"/>
      <w:jc w:val="center"/>
    </w:pPr>
    <w:rPr>
      <w:rFonts w:ascii="Arial" w:eastAsia="Arial" w:hAnsi="Arial" w:cs="Arial"/>
      <w:b/>
      <w:bCs/>
      <w:i/>
      <w:i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C5853"/>
    <w:rPr>
      <w:rFonts w:ascii="Arial" w:eastAsia="Arial" w:hAnsi="Arial" w:cs="Arial"/>
      <w:b/>
      <w:bCs/>
      <w:i/>
      <w:iCs/>
      <w:sz w:val="44"/>
      <w:szCs w:val="4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C58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53"/>
    <w:rPr>
      <w:rFonts w:ascii="Calibri" w:eastAsia="Calibri" w:hAnsi="Calibri" w:cs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C58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53"/>
    <w:rPr>
      <w:rFonts w:ascii="Calibri" w:eastAsia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aspi\monitoring\jp%20i%20ad\2025%20godina\Book2123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tx1"/>
                </a:solidFill>
                <a:latin typeface="+mj-lt"/>
                <a:ea typeface="+mj-ea"/>
                <a:cs typeface="+mj-cs"/>
              </a:defRPr>
            </a:pPr>
            <a:r>
              <a:rPr lang="sq-AL" sz="1600" b="1">
                <a:solidFill>
                  <a:schemeClr val="tx1"/>
                </a:solidFill>
              </a:rPr>
              <a:t>Niveli i Transparencës</a:t>
            </a:r>
            <a:r>
              <a:rPr lang="sq-AL" sz="1600" b="1" baseline="0">
                <a:solidFill>
                  <a:schemeClr val="tx1"/>
                </a:solidFill>
              </a:rPr>
              <a:t> Proaktive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tx1"/>
              </a:solidFill>
              <a:latin typeface="+mj-lt"/>
              <a:ea typeface="+mj-ea"/>
              <a:cs typeface="+mj-cs"/>
            </a:defRPr>
          </a:pPr>
          <a:endParaRPr lang="sq-A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[Book212325.xlsx]Sheet1!$A$3</c:f>
              <c:strCache>
                <c:ptCount val="1"/>
                <c:pt idx="0">
                  <c:v>2021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[Book212325.xlsx]Sheet1!$B$2:$E$2</c:f>
              <c:strCache>
                <c:ptCount val="4"/>
                <c:pt idx="0">
                  <c:v>многу ниско</c:v>
                </c:pt>
                <c:pt idx="1">
                  <c:v>ниско</c:v>
                </c:pt>
                <c:pt idx="2">
                  <c:v>средно</c:v>
                </c:pt>
                <c:pt idx="3">
                  <c:v>високо</c:v>
                </c:pt>
              </c:strCache>
            </c:strRef>
          </c:cat>
          <c:val>
            <c:numRef>
              <c:f>[Book212325.xlsx]Sheet1!$B$3:$E$3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13-4433-B5AA-94EC8558577B}"/>
            </c:ext>
          </c:extLst>
        </c:ser>
        <c:ser>
          <c:idx val="1"/>
          <c:order val="1"/>
          <c:tx>
            <c:strRef>
              <c:f>[Book212325.xlsx]Sheet1!$A$4</c:f>
              <c:strCache>
                <c:ptCount val="1"/>
                <c:pt idx="0">
                  <c:v>2023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[Book212325.xlsx]Sheet1!$B$2:$E$2</c:f>
              <c:strCache>
                <c:ptCount val="4"/>
                <c:pt idx="0">
                  <c:v>многу ниско</c:v>
                </c:pt>
                <c:pt idx="1">
                  <c:v>ниско</c:v>
                </c:pt>
                <c:pt idx="2">
                  <c:v>средно</c:v>
                </c:pt>
                <c:pt idx="3">
                  <c:v>високо</c:v>
                </c:pt>
              </c:strCache>
            </c:strRef>
          </c:cat>
          <c:val>
            <c:numRef>
              <c:f>[Book212325.xlsx]Sheet1!$B$4:$E$4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13-4433-B5AA-94EC8558577B}"/>
            </c:ext>
          </c:extLst>
        </c:ser>
        <c:ser>
          <c:idx val="2"/>
          <c:order val="2"/>
          <c:tx>
            <c:strRef>
              <c:f>[Book212325.xlsx]Sheet1!$A$5</c:f>
              <c:strCache>
                <c:ptCount val="1"/>
                <c:pt idx="0">
                  <c:v>2025</c:v>
                </c:pt>
              </c:strCache>
            </c:strRef>
          </c:tx>
          <c:spPr>
            <a:ln w="381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[Book212325.xlsx]Sheet1!$B$2:$E$2</c:f>
              <c:strCache>
                <c:ptCount val="4"/>
                <c:pt idx="0">
                  <c:v>многу ниско</c:v>
                </c:pt>
                <c:pt idx="1">
                  <c:v>ниско</c:v>
                </c:pt>
                <c:pt idx="2">
                  <c:v>средно</c:v>
                </c:pt>
                <c:pt idx="3">
                  <c:v>високо</c:v>
                </c:pt>
              </c:strCache>
            </c:strRef>
          </c:cat>
          <c:val>
            <c:numRef>
              <c:f>[Book212325.xlsx]Sheet1!$B$5:$E$5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25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13-4433-B5AA-94EC85585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62280591"/>
        <c:axId val="1609185215"/>
      </c:lineChart>
      <c:catAx>
        <c:axId val="156228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609185215"/>
        <c:crosses val="autoZero"/>
        <c:auto val="1"/>
        <c:lblAlgn val="ctr"/>
        <c:lblOffset val="100"/>
        <c:noMultiLvlLbl val="0"/>
      </c:catAx>
      <c:valAx>
        <c:axId val="160918521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crossAx val="156228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Valon Mustafa</cp:lastModifiedBy>
  <cp:revision>2</cp:revision>
  <dcterms:created xsi:type="dcterms:W3CDTF">2025-05-16T08:20:00Z</dcterms:created>
  <dcterms:modified xsi:type="dcterms:W3CDTF">2025-05-16T08:20:00Z</dcterms:modified>
</cp:coreProperties>
</file>