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7BA1" w14:textId="19C207C9" w:rsidR="00EE3B6C" w:rsidRPr="00B4298C" w:rsidRDefault="00B70768" w:rsidP="00426A8E">
      <w:pPr>
        <w:rPr>
          <w:lang w:val="sq-AL"/>
        </w:rPr>
      </w:pPr>
      <w:r w:rsidRPr="00B4298C">
        <w:rPr>
          <w:lang w:val="sq-AL"/>
        </w:rPr>
        <w:t xml:space="preserve"> </w:t>
      </w:r>
    </w:p>
    <w:p w14:paraId="0BBC78A1" w14:textId="77777777" w:rsidR="00D31268" w:rsidRPr="00B4298C" w:rsidRDefault="00D31268" w:rsidP="00426A8E">
      <w:pPr>
        <w:rPr>
          <w:lang w:val="sq-AL"/>
        </w:rPr>
      </w:pPr>
    </w:p>
    <w:p w14:paraId="586C6140" w14:textId="77777777" w:rsidR="00D31268" w:rsidRPr="00B4298C" w:rsidRDefault="00D31268" w:rsidP="00426A8E">
      <w:pPr>
        <w:rPr>
          <w:lang w:val="sq-AL"/>
        </w:rPr>
      </w:pPr>
    </w:p>
    <w:p w14:paraId="50DBBDE4" w14:textId="77777777" w:rsidR="00D31268" w:rsidRPr="00B4298C" w:rsidRDefault="00D31268" w:rsidP="00426A8E">
      <w:pPr>
        <w:rPr>
          <w:lang w:val="sq-AL"/>
        </w:rPr>
      </w:pPr>
    </w:p>
    <w:p w14:paraId="1910A2BB" w14:textId="77777777" w:rsidR="00D31268" w:rsidRPr="00B4298C" w:rsidRDefault="00D31268" w:rsidP="00426A8E">
      <w:pPr>
        <w:rPr>
          <w:lang w:val="sq-AL"/>
        </w:rPr>
      </w:pPr>
    </w:p>
    <w:p w14:paraId="2E3F9DAD" w14:textId="77777777" w:rsidR="00D31268" w:rsidRPr="00B4298C" w:rsidRDefault="00D31268" w:rsidP="00426A8E">
      <w:pPr>
        <w:rPr>
          <w:lang w:val="sq-AL"/>
        </w:rPr>
      </w:pPr>
    </w:p>
    <w:p w14:paraId="0D16CD3D" w14:textId="0271454C" w:rsidR="00802E54" w:rsidRPr="00B4298C" w:rsidRDefault="00802E54" w:rsidP="008D068A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>PROGRAM</w:t>
      </w:r>
      <w:r w:rsidR="00B4298C">
        <w:rPr>
          <w:rFonts w:ascii="StobiSerif Regular" w:hAnsi="StobiSerif Regular"/>
          <w:b/>
          <w:bCs/>
          <w:sz w:val="32"/>
          <w:szCs w:val="32"/>
          <w:lang w:val="sq-AL"/>
        </w:rPr>
        <w:t>I</w:t>
      </w: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 xml:space="preserve"> VJETOR </w:t>
      </w:r>
    </w:p>
    <w:p w14:paraId="35CA3D37" w14:textId="6E044302" w:rsidR="00802E54" w:rsidRPr="00B4298C" w:rsidRDefault="00802E54" w:rsidP="008D068A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>PËR ZBATIMIN E MONITORIMIT TË UEB FAQEVE</w:t>
      </w:r>
    </w:p>
    <w:p w14:paraId="646F1B9D" w14:textId="77777777" w:rsidR="00802E54" w:rsidRPr="00B4298C" w:rsidRDefault="00802E54" w:rsidP="00802E54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 xml:space="preserve">TË POSEDUESVE TË INFORMACIONEVE ME </w:t>
      </w:r>
    </w:p>
    <w:p w14:paraId="381455D7" w14:textId="1DBFDC32" w:rsidR="00802E54" w:rsidRPr="00B4298C" w:rsidRDefault="00802E54" w:rsidP="00802E54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 xml:space="preserve">KARAKTER PUBLIK PËR PLOTËSIMIN E </w:t>
      </w:r>
    </w:p>
    <w:p w14:paraId="20E21EAF" w14:textId="77777777" w:rsidR="00802E54" w:rsidRPr="00B4298C" w:rsidRDefault="00802E54" w:rsidP="00802E54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 xml:space="preserve">TRANSPARENCËS PROAKTIVE </w:t>
      </w:r>
    </w:p>
    <w:p w14:paraId="348B8FC6" w14:textId="7F2DF377" w:rsidR="00802E54" w:rsidRPr="00B4298C" w:rsidRDefault="00802E54" w:rsidP="00802E54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  <w:r w:rsidRPr="00B4298C">
        <w:rPr>
          <w:rFonts w:ascii="StobiSerif Regular" w:hAnsi="StobiSerif Regular"/>
          <w:b/>
          <w:bCs/>
          <w:sz w:val="32"/>
          <w:szCs w:val="32"/>
          <w:lang w:val="sq-AL"/>
        </w:rPr>
        <w:t>PËR VITIN 2025</w:t>
      </w:r>
    </w:p>
    <w:p w14:paraId="21997A57" w14:textId="391BC487" w:rsidR="00D31268" w:rsidRPr="00B4298C" w:rsidRDefault="00D31268" w:rsidP="008D068A">
      <w:pPr>
        <w:ind w:firstLine="0"/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</w:p>
    <w:p w14:paraId="17F7106F" w14:textId="77777777" w:rsidR="00B326F7" w:rsidRPr="00B4298C" w:rsidRDefault="00B326F7" w:rsidP="008D068A">
      <w:pPr>
        <w:rPr>
          <w:rFonts w:ascii="StobiSerif Regular" w:hAnsi="StobiSerif Regular"/>
          <w:b/>
          <w:bCs/>
          <w:lang w:val="sq-AL"/>
        </w:rPr>
      </w:pPr>
    </w:p>
    <w:p w14:paraId="7C3E27F8" w14:textId="77777777" w:rsidR="00B326F7" w:rsidRPr="00B4298C" w:rsidRDefault="00B326F7" w:rsidP="008D068A">
      <w:pPr>
        <w:rPr>
          <w:rFonts w:ascii="StobiSerif Regular" w:hAnsi="StobiSerif Regular"/>
          <w:b/>
          <w:bCs/>
          <w:lang w:val="sq-AL"/>
        </w:rPr>
      </w:pPr>
    </w:p>
    <w:p w14:paraId="77905764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777592BB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748B166D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16E8559A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6A28AE1D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35AC7F14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3593F55D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0838B520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028932EB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64730DE0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2CE84689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65E6BF6C" w14:textId="77777777" w:rsidR="00B326F7" w:rsidRPr="00B4298C" w:rsidRDefault="00B326F7" w:rsidP="00F32457">
      <w:pPr>
        <w:ind w:firstLine="0"/>
        <w:rPr>
          <w:rFonts w:ascii="StobiSerif Regular" w:hAnsi="StobiSerif Regular"/>
          <w:b/>
          <w:bCs/>
          <w:lang w:val="sq-AL"/>
        </w:rPr>
      </w:pPr>
    </w:p>
    <w:p w14:paraId="604A8147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4B117DD9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7915D95A" w14:textId="77777777" w:rsidR="00B326F7" w:rsidRPr="00B4298C" w:rsidRDefault="00B326F7" w:rsidP="00B326F7">
      <w:pPr>
        <w:ind w:firstLine="0"/>
        <w:rPr>
          <w:rFonts w:ascii="StobiSerif Regular" w:hAnsi="StobiSerif Regular"/>
          <w:b/>
          <w:bCs/>
          <w:lang w:val="sq-AL"/>
        </w:rPr>
      </w:pPr>
    </w:p>
    <w:p w14:paraId="564044A2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7A95ED44" w14:textId="77777777" w:rsidR="00B326F7" w:rsidRPr="00B4298C" w:rsidRDefault="00B326F7" w:rsidP="00D31268">
      <w:pPr>
        <w:jc w:val="center"/>
        <w:rPr>
          <w:rFonts w:ascii="StobiSerif Regular" w:hAnsi="StobiSerif Regular"/>
          <w:b/>
          <w:bCs/>
          <w:lang w:val="sq-AL"/>
        </w:rPr>
      </w:pPr>
    </w:p>
    <w:p w14:paraId="1CF42D4F" w14:textId="77777777" w:rsidR="00B326F7" w:rsidRPr="00B4298C" w:rsidRDefault="00B326F7" w:rsidP="008D068A">
      <w:pPr>
        <w:ind w:firstLine="0"/>
        <w:rPr>
          <w:rFonts w:ascii="StobiSerif Regular" w:hAnsi="StobiSerif Regular"/>
          <w:b/>
          <w:bCs/>
          <w:lang w:val="sq-AL"/>
        </w:rPr>
      </w:pPr>
    </w:p>
    <w:p w14:paraId="5E7AEF03" w14:textId="4784668B" w:rsidR="00B326F7" w:rsidRPr="00B4298C" w:rsidRDefault="00802E54" w:rsidP="00D31268">
      <w:pPr>
        <w:jc w:val="center"/>
        <w:rPr>
          <w:rFonts w:ascii="StobiSerif Regular" w:hAnsi="StobiSerif Regular"/>
          <w:b/>
          <w:bCs/>
          <w:lang w:val="sq-AL"/>
        </w:rPr>
      </w:pPr>
      <w:r w:rsidRPr="00B4298C">
        <w:rPr>
          <w:rFonts w:ascii="StobiSerif Regular" w:hAnsi="StobiSerif Regular"/>
          <w:b/>
          <w:bCs/>
          <w:lang w:val="sq-AL"/>
        </w:rPr>
        <w:t>Shkup, viti 2024</w:t>
      </w:r>
    </w:p>
    <w:p w14:paraId="71231602" w14:textId="77777777" w:rsidR="000D1639" w:rsidRPr="00B4298C" w:rsidRDefault="000D1639" w:rsidP="000D1639">
      <w:pPr>
        <w:keepNext/>
        <w:keepLines/>
        <w:widowControl/>
        <w:ind w:left="720" w:firstLine="0"/>
        <w:rPr>
          <w:rFonts w:ascii="StobiSerif Regular" w:hAnsi="StobiSerif Regular"/>
          <w:b/>
          <w:snapToGrid/>
          <w:sz w:val="16"/>
          <w:szCs w:val="16"/>
          <w:lang w:val="sq-AL" w:eastAsia="mk-MK"/>
        </w:rPr>
      </w:pPr>
      <w:bookmarkStart w:id="0" w:name="_Toc166750244"/>
    </w:p>
    <w:p w14:paraId="2D303296" w14:textId="075FB4F0" w:rsidR="00017324" w:rsidRPr="00B4298C" w:rsidRDefault="00802E54" w:rsidP="00915CBE">
      <w:pPr>
        <w:keepNext/>
        <w:keepLines/>
        <w:widowControl/>
        <w:numPr>
          <w:ilvl w:val="0"/>
          <w:numId w:val="10"/>
        </w:numPr>
        <w:rPr>
          <w:rFonts w:ascii="StobiSerif Regular" w:hAnsi="StobiSerif Regular"/>
          <w:b/>
          <w:snapToGrid/>
          <w:sz w:val="28"/>
          <w:szCs w:val="28"/>
          <w:lang w:val="sq-AL" w:eastAsia="mk-MK"/>
        </w:rPr>
      </w:pPr>
      <w:r w:rsidRPr="00B4298C">
        <w:rPr>
          <w:rFonts w:ascii="StobiSerif Regular" w:hAnsi="StobiSerif Regular"/>
          <w:b/>
          <w:snapToGrid/>
          <w:sz w:val="28"/>
          <w:szCs w:val="28"/>
          <w:lang w:val="sq-AL" w:eastAsia="mk-MK"/>
        </w:rPr>
        <w:t>HYRJE</w:t>
      </w:r>
      <w:r w:rsidR="00330E53" w:rsidRPr="00B4298C">
        <w:rPr>
          <w:rFonts w:ascii="StobiSerif Regular" w:hAnsi="StobiSerif Regular"/>
          <w:b/>
          <w:snapToGrid/>
          <w:sz w:val="28"/>
          <w:szCs w:val="28"/>
          <w:lang w:val="sq-AL" w:eastAsia="mk-MK"/>
        </w:rPr>
        <w:t>:</w:t>
      </w:r>
      <w:bookmarkEnd w:id="0"/>
    </w:p>
    <w:p w14:paraId="2D117EEF" w14:textId="77777777" w:rsidR="00017324" w:rsidRPr="00B4298C" w:rsidRDefault="00017324" w:rsidP="0003628C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2DE0211F" w14:textId="4578433C" w:rsidR="00802E54" w:rsidRPr="00B4298C" w:rsidRDefault="00802E54" w:rsidP="0003628C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Informatat me rëndësi publike janë në dispozicion të qytetarëve në dy mënyra - me proaktivitet të vetë institucioneve dhe me mjete reaktive - dmth. me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dorëzimin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e kërkesës për informacion nga institucione të caktuara publike. Transparenca proaktive nënkupton publikimin në kohë të informacionit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me karakter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 nga institucionet që e bëjnë këtë me iniciativën e tyre, përpara se ato të kërkohen gojarisht, me shkrim ose në mënyrë elektronike, përmes faqeve të qarta dhe transparente që përmbajnë të gjithë informacionin përkatës për qytetarët. Një publikim i tillë proaktiv i informacionit kontribuon në forcimin e ligjit dhe i mundëson publikut të njihet me rregulloret, vendimet dhe veprimet e tjera që janë me interes dhe prekin publikun.</w:t>
      </w:r>
    </w:p>
    <w:p w14:paraId="26351C44" w14:textId="77777777" w:rsidR="00802E54" w:rsidRPr="00B4298C" w:rsidRDefault="00802E54" w:rsidP="0003628C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169A4813" w14:textId="77777777" w:rsidR="00802E54" w:rsidRPr="00B4298C" w:rsidRDefault="00802E54" w:rsidP="0003628C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Detyrimi i institucioneve për të bërë punën e tyre transparente vlen për të gjitha institucionet,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poseduesit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e informacionit publik. Për këtë arsye, është e rëndësishme që qytetarët të informohen menjëherë dhe qartë për të gjitha informatat me rëndësi për publikun, dhe poseduesit janë të obliguar që qytetarëve t'u mundësojnë qasje në informata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me karakter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publik. </w:t>
      </w:r>
    </w:p>
    <w:p w14:paraId="1DAB5537" w14:textId="77777777" w:rsidR="00802E54" w:rsidRPr="00B4298C" w:rsidRDefault="00802E54" w:rsidP="0003628C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27397E4A" w14:textId="37CBBA00" w:rsidR="008E6A7A" w:rsidRPr="00B4298C" w:rsidRDefault="00802E54" w:rsidP="0003628C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Qëllimi i përgjithshëm i monitorimit është të perceptojë nivelin e transparencës proaktive të poseduesve të informacionit.</w:t>
      </w:r>
    </w:p>
    <w:p w14:paraId="6333BC81" w14:textId="77777777" w:rsidR="007915A5" w:rsidRPr="00B4298C" w:rsidRDefault="007915A5" w:rsidP="00915CBE">
      <w:pPr>
        <w:widowControl/>
        <w:ind w:firstLine="0"/>
        <w:rPr>
          <w:rFonts w:ascii="StobiSerif Regular" w:eastAsia="Calibri" w:hAnsi="StobiSerif Regular" w:cs="Calibri"/>
          <w:snapToGrid/>
          <w:sz w:val="16"/>
          <w:szCs w:val="16"/>
          <w:lang w:val="sq-AL"/>
        </w:rPr>
      </w:pPr>
    </w:p>
    <w:p w14:paraId="781FF60F" w14:textId="77777777" w:rsidR="00B326F7" w:rsidRPr="00B4298C" w:rsidRDefault="00B326F7" w:rsidP="0003628C">
      <w:pPr>
        <w:ind w:firstLine="0"/>
        <w:rPr>
          <w:rFonts w:ascii="StobiSerif Regular" w:hAnsi="StobiSerif Regular"/>
          <w:sz w:val="16"/>
          <w:szCs w:val="16"/>
          <w:lang w:val="sq-AL"/>
        </w:rPr>
      </w:pPr>
    </w:p>
    <w:p w14:paraId="7D2F94CE" w14:textId="2D8C5991" w:rsidR="00B326F7" w:rsidRPr="00B4298C" w:rsidRDefault="00802E54" w:rsidP="00BE0850">
      <w:pPr>
        <w:numPr>
          <w:ilvl w:val="0"/>
          <w:numId w:val="10"/>
        </w:numPr>
        <w:rPr>
          <w:rFonts w:ascii="StobiSerif Regular" w:hAnsi="StobiSerif Regular"/>
          <w:b/>
          <w:bCs/>
          <w:sz w:val="28"/>
          <w:szCs w:val="28"/>
          <w:lang w:val="sq-AL"/>
        </w:rPr>
      </w:pPr>
      <w:r w:rsidRPr="00B4298C">
        <w:rPr>
          <w:rFonts w:ascii="StobiSerif Regular" w:hAnsi="StobiSerif Regular"/>
          <w:b/>
          <w:bCs/>
          <w:sz w:val="28"/>
          <w:szCs w:val="28"/>
          <w:lang w:val="sq-AL"/>
        </w:rPr>
        <w:t>DISPOZITA LIGJORE PËR PARIMIN E PUBLIKIMIT PROAKTIV</w:t>
      </w:r>
    </w:p>
    <w:p w14:paraId="256CB0AD" w14:textId="77777777" w:rsidR="00B326F7" w:rsidRPr="00B4298C" w:rsidRDefault="00B326F7" w:rsidP="0003628C">
      <w:pPr>
        <w:ind w:firstLine="0"/>
        <w:rPr>
          <w:rFonts w:ascii="StobiSerif Regular" w:hAnsi="StobiSerif Regular"/>
          <w:b/>
          <w:bCs/>
          <w:sz w:val="20"/>
          <w:lang w:val="sq-AL"/>
        </w:rPr>
      </w:pPr>
    </w:p>
    <w:p w14:paraId="5EED4CBF" w14:textId="10E57048" w:rsidR="00802E54" w:rsidRPr="00B4298C" w:rsidRDefault="00802E54" w:rsidP="0003628C">
      <w:pPr>
        <w:ind w:firstLine="0"/>
        <w:rPr>
          <w:rFonts w:ascii="StobiSerif Regular" w:hAnsi="StobiSerif Regular"/>
          <w:szCs w:val="24"/>
          <w:lang w:val="sq-AL"/>
        </w:rPr>
      </w:pPr>
      <w:r w:rsidRPr="00B4298C">
        <w:rPr>
          <w:rFonts w:ascii="StobiSerif Regular" w:hAnsi="StobiSerif Regular"/>
          <w:szCs w:val="24"/>
          <w:lang w:val="sq-AL"/>
        </w:rPr>
        <w:t xml:space="preserve">Politikat </w:t>
      </w:r>
      <w:r w:rsidRPr="00B4298C">
        <w:rPr>
          <w:rFonts w:ascii="StobiSerif Regular" w:hAnsi="StobiSerif Regular"/>
          <w:szCs w:val="24"/>
          <w:lang w:val="sq-AL"/>
        </w:rPr>
        <w:t xml:space="preserve">e publikimit </w:t>
      </w:r>
      <w:r w:rsidRPr="00B4298C">
        <w:rPr>
          <w:rFonts w:ascii="StobiSerif Regular" w:hAnsi="StobiSerif Regular"/>
          <w:szCs w:val="24"/>
          <w:lang w:val="sq-AL"/>
        </w:rPr>
        <w:t xml:space="preserve">proaktiv </w:t>
      </w:r>
      <w:r w:rsidRPr="00B4298C">
        <w:rPr>
          <w:rFonts w:ascii="StobiSerif Regular" w:hAnsi="StobiSerif Regular"/>
          <w:szCs w:val="24"/>
          <w:lang w:val="sq-AL"/>
        </w:rPr>
        <w:t xml:space="preserve">të informacioneve </w:t>
      </w:r>
      <w:r w:rsidRPr="00B4298C">
        <w:rPr>
          <w:rFonts w:ascii="StobiSerif Regular" w:hAnsi="StobiSerif Regular"/>
          <w:szCs w:val="24"/>
          <w:lang w:val="sq-AL"/>
        </w:rPr>
        <w:t xml:space="preserve">nga </w:t>
      </w:r>
      <w:r w:rsidRPr="00B4298C">
        <w:rPr>
          <w:rFonts w:ascii="StobiSerif Regular" w:hAnsi="StobiSerif Regular"/>
          <w:szCs w:val="24"/>
          <w:lang w:val="sq-AL"/>
        </w:rPr>
        <w:t>ana e posedusve të</w:t>
      </w:r>
      <w:r w:rsidRPr="00B4298C">
        <w:rPr>
          <w:rFonts w:ascii="StobiSerif Regular" w:hAnsi="StobiSerif Regular"/>
          <w:szCs w:val="24"/>
          <w:lang w:val="sq-AL"/>
        </w:rPr>
        <w:t xml:space="preserve"> informacion</w:t>
      </w:r>
      <w:r w:rsidRPr="00B4298C">
        <w:rPr>
          <w:rFonts w:ascii="StobiSerif Regular" w:hAnsi="StobiSerif Regular"/>
          <w:szCs w:val="24"/>
          <w:lang w:val="sq-AL"/>
        </w:rPr>
        <w:t>eve me karakter</w:t>
      </w:r>
      <w:r w:rsidRPr="00B4298C">
        <w:rPr>
          <w:rFonts w:ascii="StobiSerif Regular" w:hAnsi="StobiSerif Regular"/>
          <w:szCs w:val="24"/>
          <w:lang w:val="sq-AL"/>
        </w:rPr>
        <w:t xml:space="preserve"> publik </w:t>
      </w:r>
      <w:r w:rsidRPr="00B4298C">
        <w:rPr>
          <w:rFonts w:ascii="StobiSerif Regular" w:hAnsi="StobiSerif Regular"/>
          <w:szCs w:val="24"/>
          <w:lang w:val="sq-AL"/>
        </w:rPr>
        <w:t xml:space="preserve">janë të </w:t>
      </w:r>
      <w:r w:rsidRPr="00B4298C">
        <w:rPr>
          <w:rFonts w:ascii="StobiSerif Regular" w:hAnsi="StobiSerif Regular"/>
          <w:szCs w:val="24"/>
          <w:lang w:val="sq-AL"/>
        </w:rPr>
        <w:t>rregull</w:t>
      </w:r>
      <w:r w:rsidRPr="00B4298C">
        <w:rPr>
          <w:rFonts w:ascii="StobiSerif Regular" w:hAnsi="StobiSerif Regular"/>
          <w:szCs w:val="24"/>
          <w:lang w:val="sq-AL"/>
        </w:rPr>
        <w:t>uara kryesisht</w:t>
      </w:r>
      <w:r w:rsidRPr="00B4298C">
        <w:rPr>
          <w:rFonts w:ascii="StobiSerif Regular" w:hAnsi="StobiSerif Regular"/>
          <w:szCs w:val="24"/>
          <w:lang w:val="sq-AL"/>
        </w:rPr>
        <w:t>, por jo tërësisht, n</w:t>
      </w:r>
      <w:r w:rsidRPr="00B4298C">
        <w:rPr>
          <w:rFonts w:ascii="StobiSerif Regular" w:hAnsi="StobiSerif Regular"/>
          <w:szCs w:val="24"/>
          <w:lang w:val="sq-AL"/>
        </w:rPr>
        <w:t>ë</w:t>
      </w:r>
      <w:r w:rsidRPr="00B4298C">
        <w:rPr>
          <w:rFonts w:ascii="StobiSerif Regular" w:hAnsi="StobiSerif Regular"/>
          <w:szCs w:val="24"/>
          <w:lang w:val="sq-AL"/>
        </w:rPr>
        <w:t xml:space="preserve"> ligjet </w:t>
      </w:r>
      <w:r w:rsidRPr="00B4298C">
        <w:rPr>
          <w:rFonts w:ascii="StobiSerif Regular" w:hAnsi="StobiSerif Regular"/>
          <w:szCs w:val="24"/>
          <w:lang w:val="sq-AL"/>
        </w:rPr>
        <w:t xml:space="preserve">për qasje </w:t>
      </w:r>
      <w:r w:rsidRPr="00B4298C">
        <w:rPr>
          <w:rFonts w:ascii="StobiSerif Regular" w:hAnsi="StobiSerif Regular"/>
          <w:szCs w:val="24"/>
          <w:lang w:val="sq-AL"/>
        </w:rPr>
        <w:t>në informacion</w:t>
      </w:r>
      <w:r w:rsidR="001433D5" w:rsidRPr="00B4298C">
        <w:rPr>
          <w:rFonts w:ascii="StobiSerif Regular" w:hAnsi="StobiSerif Regular"/>
          <w:szCs w:val="24"/>
          <w:lang w:val="sq-AL"/>
        </w:rPr>
        <w:t>e</w:t>
      </w:r>
      <w:r w:rsidRPr="00B4298C">
        <w:rPr>
          <w:rFonts w:ascii="StobiSerif Regular" w:hAnsi="StobiSerif Regular"/>
          <w:szCs w:val="24"/>
          <w:lang w:val="sq-AL"/>
        </w:rPr>
        <w:t xml:space="preserve">. </w:t>
      </w:r>
    </w:p>
    <w:p w14:paraId="13434D4D" w14:textId="77777777" w:rsidR="00802E54" w:rsidRPr="00B4298C" w:rsidRDefault="00802E54" w:rsidP="0003628C">
      <w:pPr>
        <w:ind w:firstLine="0"/>
        <w:rPr>
          <w:rFonts w:ascii="StobiSerif Regular" w:hAnsi="StobiSerif Regular"/>
          <w:szCs w:val="24"/>
          <w:lang w:val="sq-AL"/>
        </w:rPr>
      </w:pPr>
    </w:p>
    <w:p w14:paraId="20383B21" w14:textId="77777777" w:rsidR="001433D5" w:rsidRPr="00B4298C" w:rsidRDefault="00802E54" w:rsidP="0003628C">
      <w:pPr>
        <w:ind w:firstLine="0"/>
        <w:rPr>
          <w:rFonts w:ascii="StobiSerif Regular" w:hAnsi="StobiSerif Regular"/>
          <w:szCs w:val="24"/>
          <w:lang w:val="sq-AL"/>
        </w:rPr>
      </w:pPr>
      <w:r w:rsidRPr="00B4298C">
        <w:rPr>
          <w:rFonts w:ascii="StobiSerif Regular" w:hAnsi="StobiSerif Regular"/>
          <w:szCs w:val="24"/>
          <w:lang w:val="sq-AL"/>
        </w:rPr>
        <w:t xml:space="preserve">Me miratimin e Ligjit për Qasje të Lirë në Informacione </w:t>
      </w:r>
      <w:r w:rsidR="001433D5" w:rsidRPr="00B4298C">
        <w:rPr>
          <w:rFonts w:ascii="StobiSerif Regular" w:hAnsi="StobiSerif Regular"/>
          <w:szCs w:val="24"/>
          <w:lang w:val="sq-AL"/>
        </w:rPr>
        <w:t xml:space="preserve">me Karakter </w:t>
      </w:r>
      <w:r w:rsidRPr="00B4298C">
        <w:rPr>
          <w:rFonts w:ascii="StobiSerif Regular" w:hAnsi="StobiSerif Regular"/>
          <w:szCs w:val="24"/>
          <w:lang w:val="sq-AL"/>
        </w:rPr>
        <w:t>Publik (</w:t>
      </w:r>
      <w:r w:rsidRPr="00B4298C">
        <w:rPr>
          <w:rFonts w:ascii="StobiSerif Regular" w:hAnsi="StobiSerif Regular"/>
          <w:szCs w:val="24"/>
          <w:lang w:val="sq-AL"/>
        </w:rPr>
        <w:t>LQLIKP</w:t>
      </w:r>
      <w:r w:rsidRPr="00B4298C">
        <w:rPr>
          <w:rFonts w:ascii="StobiSerif Regular" w:hAnsi="StobiSerif Regular"/>
          <w:szCs w:val="24"/>
          <w:lang w:val="sq-AL"/>
        </w:rPr>
        <w:t xml:space="preserve">) në vitin 2019, u </w:t>
      </w:r>
      <w:r w:rsidR="001433D5" w:rsidRPr="00B4298C">
        <w:rPr>
          <w:rFonts w:ascii="StobiSerif Regular" w:hAnsi="StobiSerif Regular"/>
          <w:szCs w:val="24"/>
          <w:lang w:val="sq-AL"/>
        </w:rPr>
        <w:t>përcaktuan</w:t>
      </w:r>
      <w:r w:rsidRPr="00B4298C">
        <w:rPr>
          <w:rFonts w:ascii="StobiSerif Regular" w:hAnsi="StobiSerif Regular"/>
          <w:szCs w:val="24"/>
          <w:lang w:val="sq-AL"/>
        </w:rPr>
        <w:t xml:space="preserve"> detyrimet për publikimin e kategorive të caktuara të informacionit, të përfshira në nenin 10. </w:t>
      </w:r>
    </w:p>
    <w:p w14:paraId="6627CEF7" w14:textId="77777777" w:rsidR="001433D5" w:rsidRPr="00B4298C" w:rsidRDefault="001433D5" w:rsidP="0003628C">
      <w:pPr>
        <w:ind w:firstLine="0"/>
        <w:rPr>
          <w:rFonts w:ascii="StobiSerif Regular" w:hAnsi="StobiSerif Regular"/>
          <w:szCs w:val="24"/>
          <w:lang w:val="sq-AL"/>
        </w:rPr>
      </w:pPr>
    </w:p>
    <w:p w14:paraId="60EE1A5B" w14:textId="62D5AA7D" w:rsidR="00802E54" w:rsidRPr="00B4298C" w:rsidRDefault="00802E54" w:rsidP="0003628C">
      <w:pPr>
        <w:ind w:firstLine="0"/>
        <w:rPr>
          <w:rFonts w:ascii="StobiSerif Regular" w:hAnsi="StobiSerif Regular"/>
          <w:szCs w:val="24"/>
          <w:lang w:val="sq-AL"/>
        </w:rPr>
      </w:pPr>
      <w:r w:rsidRPr="00B4298C">
        <w:rPr>
          <w:rFonts w:ascii="StobiSerif Regular" w:hAnsi="StobiSerif Regular"/>
          <w:szCs w:val="24"/>
          <w:lang w:val="sq-AL"/>
        </w:rPr>
        <w:t xml:space="preserve">Kategoritë e informacionit, sipas ligjit, të përcaktuara në nenin 10 janë: përshkrimi i kompetencave dhe të dhënat për strukturën organizative, funksionet dhe përgjegjësitë e organeve administrative, lista e akteve (vendimeve) të nxjerra në kuadër të kompetencave, informacioni financiar, </w:t>
      </w:r>
      <w:r w:rsidR="001433D5" w:rsidRPr="00B4298C">
        <w:rPr>
          <w:rFonts w:ascii="StobiSerif Regular" w:hAnsi="StobiSerif Regular"/>
          <w:szCs w:val="24"/>
          <w:lang w:val="sq-AL"/>
        </w:rPr>
        <w:t>informacione</w:t>
      </w:r>
      <w:r w:rsidR="001433D5" w:rsidRPr="00B4298C">
        <w:rPr>
          <w:rFonts w:ascii="StobiSerif Regular" w:hAnsi="StobiSerif Regular"/>
          <w:szCs w:val="24"/>
          <w:lang w:val="sq-AL"/>
        </w:rPr>
        <w:t xml:space="preserve"> për </w:t>
      </w:r>
      <w:r w:rsidRPr="00B4298C">
        <w:rPr>
          <w:rFonts w:ascii="StobiSerif Regular" w:hAnsi="StobiSerif Regular"/>
          <w:szCs w:val="24"/>
          <w:lang w:val="sq-AL"/>
        </w:rPr>
        <w:t>kontakt, informacione për prokurimet publike etj.</w:t>
      </w:r>
    </w:p>
    <w:p w14:paraId="2EEA21BE" w14:textId="77777777" w:rsidR="00802E54" w:rsidRPr="00B4298C" w:rsidRDefault="00802E54" w:rsidP="001433D5">
      <w:pPr>
        <w:pStyle w:val="Header"/>
        <w:tabs>
          <w:tab w:val="center" w:pos="4110"/>
          <w:tab w:val="right" w:pos="8646"/>
          <w:tab w:val="right" w:pos="8930"/>
        </w:tabs>
        <w:ind w:firstLine="0"/>
        <w:rPr>
          <w:rFonts w:ascii="StobiSerif Regular" w:hAnsi="StobiSerif Regular" w:cs="Helvetica"/>
          <w:kern w:val="2"/>
          <w:szCs w:val="24"/>
          <w:lang w:val="sq-AL" w:eastAsia="zh-CN" w:bidi="my-MM"/>
        </w:rPr>
      </w:pPr>
    </w:p>
    <w:p w14:paraId="0D3FF351" w14:textId="2AB6BCF2" w:rsidR="00E26366" w:rsidRPr="00B4298C" w:rsidRDefault="001433D5" w:rsidP="00BE0850">
      <w:pPr>
        <w:pStyle w:val="Header"/>
        <w:tabs>
          <w:tab w:val="center" w:pos="4110"/>
          <w:tab w:val="right" w:pos="8646"/>
          <w:tab w:val="right" w:pos="8930"/>
        </w:tabs>
        <w:ind w:firstLine="0"/>
        <w:rPr>
          <w:rFonts w:ascii="StobiSerif Regular" w:hAnsi="StobiSerif Regular" w:cs="Helvetica"/>
          <w:kern w:val="2"/>
          <w:szCs w:val="24"/>
          <w:lang w:val="sq-AL" w:eastAsia="zh-CN" w:bidi="my-MM"/>
        </w:rPr>
      </w:pPr>
      <w:r w:rsidRPr="00B4298C">
        <w:rPr>
          <w:rFonts w:ascii="StobiSerif Regular" w:hAnsi="StobiSerif Regular" w:cs="Helvetica"/>
          <w:kern w:val="2"/>
          <w:szCs w:val="24"/>
          <w:lang w:val="sq-AL" w:eastAsia="zh-CN" w:bidi="my-MM"/>
        </w:rPr>
        <w:t xml:space="preserve">Një pjesë e madhe e kategorive të informacionit të përcaktuara me Ligjin për </w:t>
      </w:r>
      <w:r w:rsidRPr="00B4298C">
        <w:rPr>
          <w:rFonts w:ascii="StobiSerif Regular" w:hAnsi="StobiSerif Regular" w:cs="Helvetica"/>
          <w:kern w:val="2"/>
          <w:szCs w:val="24"/>
          <w:lang w:val="sq-AL" w:eastAsia="zh-CN" w:bidi="my-MM"/>
        </w:rPr>
        <w:t>QLIKP</w:t>
      </w:r>
      <w:r w:rsidRPr="00B4298C">
        <w:rPr>
          <w:rFonts w:ascii="StobiSerif Regular" w:hAnsi="StobiSerif Regular" w:cs="Helvetica"/>
          <w:kern w:val="2"/>
          <w:szCs w:val="24"/>
          <w:lang w:val="sq-AL" w:eastAsia="zh-CN" w:bidi="my-MM"/>
        </w:rPr>
        <w:t xml:space="preserve">-në janë gjithashtu standarde botërore në këtë fushë dhe ato duhet të publikohen nga </w:t>
      </w:r>
      <w:r w:rsidRPr="00B4298C">
        <w:rPr>
          <w:rFonts w:ascii="StobiSerif Regular" w:hAnsi="StobiSerif Regular" w:cs="Helvetica"/>
          <w:kern w:val="2"/>
          <w:szCs w:val="24"/>
          <w:lang w:val="sq-AL" w:eastAsia="zh-CN" w:bidi="my-MM"/>
        </w:rPr>
        <w:t xml:space="preserve">poseduesit </w:t>
      </w:r>
      <w:r w:rsidRPr="00B4298C">
        <w:rPr>
          <w:rFonts w:ascii="StobiSerif Regular" w:hAnsi="StobiSerif Regular" w:cs="Helvetica"/>
          <w:kern w:val="2"/>
          <w:szCs w:val="24"/>
          <w:lang w:val="sq-AL" w:eastAsia="zh-CN" w:bidi="my-MM"/>
        </w:rPr>
        <w:t>e faqeve të tyre të internetit.</w:t>
      </w:r>
    </w:p>
    <w:p w14:paraId="33175B93" w14:textId="77777777" w:rsidR="000D1639" w:rsidRPr="00B4298C" w:rsidRDefault="000D1639" w:rsidP="000D1639">
      <w:pPr>
        <w:keepNext/>
        <w:keepLines/>
        <w:widowControl/>
        <w:spacing w:before="360" w:after="120" w:line="259" w:lineRule="auto"/>
        <w:ind w:firstLine="0"/>
        <w:jc w:val="left"/>
        <w:outlineLvl w:val="0"/>
        <w:rPr>
          <w:rFonts w:ascii="StobiSerif Regular" w:hAnsi="StobiSerif Regular"/>
          <w:b/>
          <w:snapToGrid/>
          <w:sz w:val="16"/>
          <w:szCs w:val="16"/>
          <w:lang w:val="sq-AL" w:eastAsia="mk-MK"/>
        </w:rPr>
      </w:pPr>
      <w:bookmarkStart w:id="1" w:name="_Toc153970116"/>
      <w:bookmarkStart w:id="2" w:name="_Toc166750246"/>
    </w:p>
    <w:p w14:paraId="2EC5D750" w14:textId="0530551C" w:rsidR="003C521E" w:rsidRPr="00B4298C" w:rsidRDefault="000B40D1" w:rsidP="003C521E">
      <w:pPr>
        <w:keepNext/>
        <w:keepLines/>
        <w:widowControl/>
        <w:numPr>
          <w:ilvl w:val="0"/>
          <w:numId w:val="10"/>
        </w:numPr>
        <w:spacing w:before="360" w:after="120" w:line="259" w:lineRule="auto"/>
        <w:jc w:val="left"/>
        <w:outlineLvl w:val="0"/>
        <w:rPr>
          <w:rFonts w:ascii="StobiSerif Regular" w:hAnsi="StobiSerif Regular"/>
          <w:b/>
          <w:snapToGrid/>
          <w:sz w:val="28"/>
          <w:szCs w:val="28"/>
          <w:lang w:val="sq-AL" w:eastAsia="mk-MK"/>
        </w:rPr>
      </w:pPr>
      <w:r w:rsidRPr="00B4298C">
        <w:rPr>
          <w:rFonts w:ascii="StobiSerif Regular" w:hAnsi="StobiSerif Regular"/>
          <w:b/>
          <w:snapToGrid/>
          <w:sz w:val="28"/>
          <w:szCs w:val="28"/>
          <w:lang w:val="sq-AL" w:eastAsia="mk-MK"/>
        </w:rPr>
        <w:t>OBJEKTI</w:t>
      </w:r>
      <w:r w:rsidR="003C521E" w:rsidRPr="00B4298C">
        <w:rPr>
          <w:rFonts w:ascii="StobiSerif Regular" w:hAnsi="StobiSerif Regular"/>
          <w:b/>
          <w:snapToGrid/>
          <w:sz w:val="28"/>
          <w:szCs w:val="28"/>
          <w:lang w:val="sq-AL" w:eastAsia="mk-MK"/>
        </w:rPr>
        <w:t xml:space="preserve"> DHE QËLLIMI I MONITORIMIT</w:t>
      </w:r>
    </w:p>
    <w:bookmarkEnd w:id="1"/>
    <w:bookmarkEnd w:id="2"/>
    <w:p w14:paraId="4DC618B3" w14:textId="77777777" w:rsidR="000C4028" w:rsidRPr="00B4298C" w:rsidRDefault="000C4028" w:rsidP="00B331FF">
      <w:pPr>
        <w:widowControl/>
        <w:spacing w:after="160" w:line="259" w:lineRule="auto"/>
        <w:ind w:firstLine="0"/>
        <w:rPr>
          <w:rFonts w:ascii="StobiSerif Regular" w:hAnsi="StobiSerif Regular"/>
          <w:b/>
          <w:snapToGrid/>
          <w:sz w:val="16"/>
          <w:szCs w:val="16"/>
          <w:lang w:val="sq-AL" w:eastAsia="mk-MK"/>
        </w:rPr>
      </w:pPr>
    </w:p>
    <w:p w14:paraId="36A15BA0" w14:textId="15C9AB85" w:rsidR="003C521E" w:rsidRPr="00B4298C" w:rsidRDefault="003C521E" w:rsidP="00B331FF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Monitorimi është fokusuar në kontrollimin e kategorive të informacionit që duhet të publikohen rregullisht dhe të përditësohen në faqet e internetit të poseduesve të informacion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eve me karakter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 për rastin në përputhje me dispozitat e nenit 9 dhe nenit 10 të Ligjit për Qasje të Lirë në Informacione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me Karakter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(LQLIKP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). </w:t>
      </w:r>
    </w:p>
    <w:p w14:paraId="7DBFD870" w14:textId="2D026177" w:rsidR="00C26A89" w:rsidRPr="00B4298C" w:rsidRDefault="003C521E" w:rsidP="00B331FF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Sektori për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Bashkëpunim dhe Analizë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është i obliguar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për kryerjen dhe zbatimin e monitorimit të ueb faqeve të poseduesve për publikimin e plotë të dokumenteve dhe informacioneve që poseduesit e informacionit janë të detyruar t'i publikojnë sipas nenit 10 të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L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igjit. </w:t>
      </w:r>
    </w:p>
    <w:p w14:paraId="7C3EC393" w14:textId="1770BA01" w:rsidR="003C521E" w:rsidRPr="00B4298C" w:rsidRDefault="003C521E" w:rsidP="00B331FF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Qëllimi i monitorimit është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detektimi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 kushteve në zbatimin e detyrimit të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poseduesve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të monitoruar të informacion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eve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me karakter publik për publikimin proaktiv të 22 kategorive të informacionit në faqet e tyre të internetit. Ndihmon në realizimin e kompetencës së Agjencisë për mbrojtjen e të drejtës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për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qasje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të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lirë në informacione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me karakter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 për zbatimin e dispozitave të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LQLIKP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-së dhe rritjen e kapaciteteve të poseduesve të informacion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eve me karakter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 në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bazë të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transparencë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s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dhe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llogaridhënies së tyre më të madhe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. Gjithashtu, monitorimi kontribuon në identifikimin më të mirë të nevojave për trajnim të 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personave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zyrtarë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për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ndërmjet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ësim me informacione tek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posedues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it 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informacion</w:t>
      </w:r>
      <w:r w:rsidR="00C26A89" w:rsidRPr="00B4298C">
        <w:rPr>
          <w:rFonts w:ascii="StobiSerif Regular" w:eastAsia="Calibri" w:hAnsi="StobiSerif Regular"/>
          <w:snapToGrid/>
          <w:szCs w:val="24"/>
          <w:lang w:val="sq-AL"/>
        </w:rPr>
        <w:t>eve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.</w:t>
      </w:r>
    </w:p>
    <w:p w14:paraId="4840C19F" w14:textId="77777777" w:rsidR="004E31C6" w:rsidRPr="00B4298C" w:rsidRDefault="004E31C6" w:rsidP="00BE0850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 w:val="16"/>
          <w:szCs w:val="16"/>
          <w:lang w:val="sq-AL"/>
        </w:rPr>
      </w:pPr>
      <w:bookmarkStart w:id="3" w:name="_Toc153970118"/>
      <w:bookmarkStart w:id="4" w:name="_Toc166750248"/>
    </w:p>
    <w:p w14:paraId="05814D51" w14:textId="681F2C2C" w:rsidR="00213488" w:rsidRPr="00B4298C" w:rsidRDefault="00C26A89" w:rsidP="007915A5">
      <w:pPr>
        <w:widowControl/>
        <w:numPr>
          <w:ilvl w:val="0"/>
          <w:numId w:val="11"/>
        </w:numPr>
        <w:spacing w:after="160" w:line="259" w:lineRule="auto"/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</w:pPr>
      <w:r w:rsidRPr="00B4298C"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  <w:t>POSEDUES TË CILËT DO TË MONITOROHEN NË VITIN 2025</w:t>
      </w:r>
    </w:p>
    <w:p w14:paraId="13693572" w14:textId="77777777" w:rsidR="000C4028" w:rsidRPr="00B4298C" w:rsidRDefault="000C4028" w:rsidP="000C4028">
      <w:pPr>
        <w:widowControl/>
        <w:spacing w:after="160" w:line="259" w:lineRule="auto"/>
        <w:ind w:firstLine="0"/>
        <w:rPr>
          <w:rFonts w:ascii="StobiSerif Regular" w:eastAsia="Calibri" w:hAnsi="StobiSerif Regular"/>
          <w:b/>
          <w:bCs/>
          <w:snapToGrid/>
          <w:sz w:val="16"/>
          <w:szCs w:val="16"/>
          <w:lang w:val="sq-AL"/>
        </w:rPr>
      </w:pPr>
    </w:p>
    <w:p w14:paraId="083D28E9" w14:textId="77777777" w:rsidR="000B40D1" w:rsidRPr="00B4298C" w:rsidRDefault="000B40D1" w:rsidP="00213488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Dy grupet më të rëndësishme të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poseduesve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që kanë shumë funksione dhe ndikojnë dukshëm në jetën e qytetarëve dhe marrin fonde të mjaftueshme nga buxheti publik për të mbështetur publikimin proaktiv, janë ato të organeve të administratës shtetërore dhe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komunave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. Grupi i tretë përbëhet nga ndërmarrjet më të mëdha publike dhe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poseduesit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e pushtetit gjyqësor, të cilët kanë një ndikim të madh edhe te qytetarët/kërkuesit e informacionit. </w:t>
      </w:r>
    </w:p>
    <w:p w14:paraId="1FC996AB" w14:textId="77777777" w:rsidR="000B40D1" w:rsidRPr="00B4298C" w:rsidRDefault="000B40D1" w:rsidP="00213488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Frekuenca e monitorimit është një herë në vit ose çdo dy vjet në varësi të poseduesve të informacionit që janë objekt i monitorimit. </w:t>
      </w:r>
    </w:p>
    <w:p w14:paraId="26C2D56F" w14:textId="79B49C15" w:rsidR="000B40D1" w:rsidRPr="00B4298C" w:rsidRDefault="000B40D1" w:rsidP="00213488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Në vitin 2025, si çdo vit,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posedues të cilët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do të monitorohen janë 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O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rganet e administratës shtetërore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dhe këtë detyrim e ka Agjencia në përputhje me Strategjinë për reform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a në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administratë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n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publike. Monitorimi do të kryhet në:</w:t>
      </w:r>
    </w:p>
    <w:p w14:paraId="315C6380" w14:textId="77777777" w:rsidR="00361023" w:rsidRPr="00B4298C" w:rsidRDefault="00361023" w:rsidP="00361023">
      <w:pPr>
        <w:widowControl/>
        <w:ind w:left="1560" w:hanging="426"/>
        <w:rPr>
          <w:rFonts w:ascii="StobiSerif Regular" w:eastAsia="Calibri" w:hAnsi="StobiSerif Regular"/>
          <w:snapToGrid/>
          <w:szCs w:val="24"/>
          <w:lang w:val="sq-AL"/>
        </w:rPr>
      </w:pPr>
    </w:p>
    <w:p w14:paraId="3A0C1983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lastRenderedPageBreak/>
        <w:t xml:space="preserve">Agjencitë në Republikën e Maqedonisë së Veriut </w:t>
      </w:r>
    </w:p>
    <w:p w14:paraId="2878F621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Entet</w:t>
      </w:r>
    </w:p>
    <w:p w14:paraId="1807ACAB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Drejtoritë </w:t>
      </w:r>
    </w:p>
    <w:p w14:paraId="509B53D6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Komisionet </w:t>
      </w:r>
    </w:p>
    <w:p w14:paraId="57F1E02A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Institutet </w:t>
      </w:r>
    </w:p>
    <w:p w14:paraId="0440D24A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M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inistritë </w:t>
      </w:r>
    </w:p>
    <w:p w14:paraId="1C00CBA0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Drejtoritë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</w:t>
      </w:r>
    </w:p>
    <w:p w14:paraId="231BB6E8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Fondet </w:t>
      </w:r>
    </w:p>
    <w:p w14:paraId="3267551C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Qendrat </w:t>
      </w:r>
    </w:p>
    <w:p w14:paraId="52629915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Qeveria e Republikës së Maqedonisë së Veriut </w:t>
      </w:r>
    </w:p>
    <w:p w14:paraId="60EBAE2F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Arkivi Shtetëror i Republikës së Maqedonisë së Veriut </w:t>
      </w:r>
    </w:p>
    <w:p w14:paraId="1520C754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Këshilli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 Inspektimit </w:t>
      </w:r>
    </w:p>
    <w:p w14:paraId="6EAA4E17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Avokati i Popullit i Republikës së Maqedonisë së Veriut </w:t>
      </w:r>
    </w:p>
    <w:p w14:paraId="52CB5B68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Banka Popullore e Republikës së Maqedonisë së Veriut </w:t>
      </w:r>
    </w:p>
    <w:p w14:paraId="5ED98448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Komiteti i Hetimit të Aksidenteve dhe Incidenteve të Rënda të Aviacionit </w:t>
      </w:r>
    </w:p>
    <w:p w14:paraId="56B5E760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Kryetari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 Republikës së Maqedonisë së Veriut </w:t>
      </w:r>
    </w:p>
    <w:p w14:paraId="300B6E45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Trupi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i revizionit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për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revizionin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e instrumentit të ndihmës së para-anëtarësimit </w:t>
      </w:r>
    </w:p>
    <w:p w14:paraId="3BE830FB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Këshilli Republikan për Sigurinë e Trafikut Rrugor </w:t>
      </w:r>
    </w:p>
    <w:p w14:paraId="2F4F0A39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Kuvendi i Republikës së Maqedonisë së Veriut </w:t>
      </w:r>
    </w:p>
    <w:p w14:paraId="2818F43F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Këshilli për promovimin dhe mbikëqyrjen 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revizionit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të Republikës së Maqedonisë së Veriut </w:t>
      </w:r>
    </w:p>
    <w:p w14:paraId="5C96C56A" w14:textId="77777777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Regjistri Qendror i Republikës së Maqedonisë së Veriut </w:t>
      </w:r>
    </w:p>
    <w:p w14:paraId="4970FE16" w14:textId="3BEF0B71" w:rsidR="000B40D1" w:rsidRPr="00B4298C" w:rsidRDefault="000B40D1" w:rsidP="00361023">
      <w:pPr>
        <w:pStyle w:val="ListParagraph"/>
        <w:widowControl/>
        <w:numPr>
          <w:ilvl w:val="2"/>
          <w:numId w:val="13"/>
        </w:numPr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Prokuroria shtetërore e Republikës së Maqedonisë së Veriut</w:t>
      </w:r>
    </w:p>
    <w:p w14:paraId="6CBDF500" w14:textId="11C8A5DA" w:rsidR="00361023" w:rsidRPr="00B4298C" w:rsidRDefault="00361023" w:rsidP="00E26366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1AAA513E" w14:textId="31B287A8" w:rsidR="008C2EF7" w:rsidRPr="00B4298C" w:rsidRDefault="008C2EF7" w:rsidP="00E26366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Gjithashtu, monitorim do 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’iu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bëhet edhe 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Komunave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 xml:space="preserve"> dhe Qendrave për Zhvillimin e Rajoneve Planifikuese. </w:t>
      </w:r>
    </w:p>
    <w:p w14:paraId="52C32AFB" w14:textId="77777777" w:rsidR="008C2EF7" w:rsidRPr="00B4298C" w:rsidRDefault="008C2EF7" w:rsidP="00E26366">
      <w:pPr>
        <w:widowControl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679751B6" w14:textId="3EDAFBFA" w:rsidR="008C2EF7" w:rsidRPr="00B4298C" w:rsidRDefault="008C2EF7" w:rsidP="00E26366">
      <w:pPr>
        <w:widowControl/>
        <w:ind w:firstLine="0"/>
        <w:rPr>
          <w:rFonts w:ascii="StobiSerif Regular" w:eastAsia="Calibri" w:hAnsi="StobiSerif Regular"/>
          <w:b/>
          <w:bCs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Në baz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ë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dyvjeçare, sipas Metodologjisë për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realizimin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e monitorimit për publikimin proaktiv të informa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cioneve me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karakter publik, monitorim do të bëhet edhe për 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N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 xml:space="preserve">dërmarrjet publike nën juridiksionin e komunave dhe 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Q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 xml:space="preserve">ytetit të Shkupit dhe 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N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dërmarrjet publike dhe Shoqëritë Aksionare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 xml:space="preserve"> në pronësi shtetërore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.</w:t>
      </w:r>
    </w:p>
    <w:p w14:paraId="01C4762A" w14:textId="77777777" w:rsidR="003539E3" w:rsidRPr="00B4298C" w:rsidRDefault="003539E3" w:rsidP="00E26366">
      <w:pPr>
        <w:widowControl/>
        <w:ind w:firstLine="0"/>
        <w:rPr>
          <w:rFonts w:ascii="StobiSerif Regular" w:eastAsia="Calibri" w:hAnsi="StobiSerif Regular"/>
          <w:snapToGrid/>
          <w:sz w:val="16"/>
          <w:szCs w:val="16"/>
          <w:lang w:val="sq-AL"/>
        </w:rPr>
      </w:pPr>
    </w:p>
    <w:p w14:paraId="68F5D949" w14:textId="77777777" w:rsidR="00E26366" w:rsidRPr="00B4298C" w:rsidRDefault="00E26366" w:rsidP="00E26366">
      <w:pPr>
        <w:widowControl/>
        <w:ind w:firstLine="0"/>
        <w:rPr>
          <w:rFonts w:ascii="StobiSerif Regular" w:eastAsia="Calibri" w:hAnsi="StobiSerif Regular"/>
          <w:snapToGrid/>
          <w:sz w:val="16"/>
          <w:szCs w:val="16"/>
          <w:lang w:val="sq-AL"/>
        </w:rPr>
      </w:pPr>
    </w:p>
    <w:p w14:paraId="3A9DAFEC" w14:textId="09CB2063" w:rsidR="00E26366" w:rsidRPr="00B4298C" w:rsidRDefault="008C2EF7" w:rsidP="00E26366">
      <w:pPr>
        <w:widowControl/>
        <w:numPr>
          <w:ilvl w:val="0"/>
          <w:numId w:val="11"/>
        </w:numPr>
        <w:spacing w:after="160" w:line="259" w:lineRule="auto"/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</w:pPr>
      <w:r w:rsidRPr="00B4298C"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  <w:t>KORNIZA E REFERENCËS</w:t>
      </w:r>
    </w:p>
    <w:p w14:paraId="37A3B43C" w14:textId="50ED6F3C" w:rsidR="008C2EF7" w:rsidRPr="00B4298C" w:rsidRDefault="008C2EF7" w:rsidP="001866AE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Korniza e referencës për monitorim është pyetësori i zhvilluar posaçërisht për këtë qëllim bazuar në kategoritë e renditura në nenin 10 të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LQLIKP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. Pyetësori dallon pyetjet përkatëse për grupe të ndryshme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të poseduesve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që monitorohen.</w:t>
      </w:r>
    </w:p>
    <w:p w14:paraId="7AC6A992" w14:textId="3FD127A4" w:rsidR="004E31C6" w:rsidRPr="00B4298C" w:rsidRDefault="004E31C6" w:rsidP="001866AE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24627402" w14:textId="77777777" w:rsidR="000C4028" w:rsidRPr="00B4298C" w:rsidRDefault="000C4028" w:rsidP="001866AE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 w:val="16"/>
          <w:szCs w:val="16"/>
          <w:lang w:val="sq-AL"/>
        </w:rPr>
      </w:pPr>
    </w:p>
    <w:p w14:paraId="767E3B56" w14:textId="77777777" w:rsidR="00003077" w:rsidRPr="00B4298C" w:rsidRDefault="00003077" w:rsidP="001866AE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 w:val="16"/>
          <w:szCs w:val="16"/>
          <w:lang w:val="sq-AL"/>
        </w:rPr>
      </w:pPr>
    </w:p>
    <w:p w14:paraId="73C274E7" w14:textId="603300CB" w:rsidR="00F32457" w:rsidRPr="00B4298C" w:rsidRDefault="008C2EF7" w:rsidP="00F32457">
      <w:pPr>
        <w:widowControl/>
        <w:numPr>
          <w:ilvl w:val="0"/>
          <w:numId w:val="11"/>
        </w:numPr>
        <w:spacing w:after="160" w:line="259" w:lineRule="auto"/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</w:pPr>
      <w:r w:rsidRPr="00B4298C"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  <w:lastRenderedPageBreak/>
        <w:t>QASJE NË REZULTATET E MONITORIMIT</w:t>
      </w:r>
    </w:p>
    <w:p w14:paraId="195D2C8A" w14:textId="3B0359E3" w:rsidR="008C2EF7" w:rsidRPr="00B4298C" w:rsidRDefault="008C2EF7" w:rsidP="00F32457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Raporti i monitorimit do t'u dërgohet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personave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zyrtarë 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ek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posedues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, të cilët janë objekt i monitorimit, me e-mail për njo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ftimin e tyre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dhe njëkohësisht do të publikohet në faqen e internetit të Agjencisë, në rubrikën </w:t>
      </w:r>
      <w:r w:rsidRPr="00B4298C">
        <w:rPr>
          <w:rFonts w:ascii="StobiSerif Regular" w:eastAsia="Calibri" w:hAnsi="StobiSerif Regular"/>
          <w:b/>
          <w:bCs/>
          <w:snapToGrid/>
          <w:szCs w:val="24"/>
          <w:lang w:val="sq-AL"/>
        </w:rPr>
        <w:t>PUBLIKIME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.</w:t>
      </w:r>
    </w:p>
    <w:p w14:paraId="0BF4F315" w14:textId="77777777" w:rsidR="00F32457" w:rsidRPr="00B4298C" w:rsidRDefault="00F32457" w:rsidP="00F32457">
      <w:pPr>
        <w:widowControl/>
        <w:spacing w:after="160" w:line="259" w:lineRule="auto"/>
        <w:ind w:firstLine="0"/>
        <w:rPr>
          <w:rFonts w:ascii="StobiSerif Regular" w:eastAsia="Calibri" w:hAnsi="StobiSerif Regular"/>
          <w:b/>
          <w:bCs/>
          <w:snapToGrid/>
          <w:sz w:val="16"/>
          <w:szCs w:val="16"/>
          <w:lang w:val="sq-AL"/>
        </w:rPr>
      </w:pPr>
    </w:p>
    <w:p w14:paraId="4F1E1BD5" w14:textId="00A16C35" w:rsidR="00F32457" w:rsidRPr="00B4298C" w:rsidRDefault="008C2EF7" w:rsidP="00F32457">
      <w:pPr>
        <w:widowControl/>
        <w:numPr>
          <w:ilvl w:val="0"/>
          <w:numId w:val="11"/>
        </w:numPr>
        <w:spacing w:after="160" w:line="259" w:lineRule="auto"/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</w:pPr>
      <w:r w:rsidRPr="00B4298C">
        <w:rPr>
          <w:rFonts w:ascii="StobiSerif Regular" w:eastAsia="Calibri" w:hAnsi="StobiSerif Regular"/>
          <w:b/>
          <w:bCs/>
          <w:snapToGrid/>
          <w:sz w:val="28"/>
          <w:szCs w:val="28"/>
          <w:lang w:val="sq-AL"/>
        </w:rPr>
        <w:t>PËRMBYLLJE</w:t>
      </w:r>
    </w:p>
    <w:p w14:paraId="02F53F5D" w14:textId="77777777" w:rsidR="008C2EF7" w:rsidRPr="00B4298C" w:rsidRDefault="008C2EF7" w:rsidP="00100C34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Me kryerjen e monitorimit, agjencia vëzhgon transparencën proaktive të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poseduesve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dhe jep konkluzione dhe rekomandime për përmirësimin e tyre. Transparenca proaktive është e rëndësishme për kërkuesit e informacionit, sepse ata do të jenë në gjendje të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kenë qasje në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informacionin që është me interes për ta në një mënyrë të shpejtë dhe të thjeshtë. </w:t>
      </w:r>
    </w:p>
    <w:p w14:paraId="55D73E76" w14:textId="73165B1A" w:rsidR="008C2EF7" w:rsidRPr="00B4298C" w:rsidRDefault="008C2EF7" w:rsidP="00100C34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>Agjencia n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ë trajnimet e saj, të cilat në vazhdimësi i organizon për </w:t>
      </w:r>
      <w:r w:rsidR="00B4298C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personat 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zyrtar</w:t>
      </w:r>
      <w:r w:rsidR="00B4298C"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tek poseduesit 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informacionit, agjencia i kushton një theks të veçantë transparencës aktive dhe zbatimit konsekuent të nenit 10 të Ligjit për </w:t>
      </w:r>
      <w:r w:rsidR="00B4298C" w:rsidRPr="00B4298C">
        <w:rPr>
          <w:rFonts w:ascii="StobiSerif Regular" w:eastAsia="Calibri" w:hAnsi="StobiSerif Regular"/>
          <w:snapToGrid/>
          <w:szCs w:val="24"/>
          <w:lang w:val="sq-AL"/>
        </w:rPr>
        <w:t>QLIKL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, sepse në këtë mënyrë </w:t>
      </w:r>
      <w:r w:rsidR="00B4298C" w:rsidRPr="00B4298C">
        <w:rPr>
          <w:rFonts w:ascii="StobiSerif Regular" w:eastAsia="Calibri" w:hAnsi="StobiSerif Regular"/>
          <w:snapToGrid/>
          <w:szCs w:val="24"/>
          <w:lang w:val="sq-AL"/>
        </w:rPr>
        <w:t>poseduesit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 xml:space="preserve"> i ndihmojnë qytetarët që të kuptojnë më mirë funksionimin e institucione</w:t>
      </w:r>
      <w:r w:rsidR="00B4298C" w:rsidRPr="00B4298C">
        <w:rPr>
          <w:rFonts w:ascii="StobiSerif Regular" w:eastAsia="Calibri" w:hAnsi="StobiSerif Regular"/>
          <w:snapToGrid/>
          <w:szCs w:val="24"/>
          <w:lang w:val="sq-AL"/>
        </w:rPr>
        <w:t>ve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, të drejtat dhe detyrimet e tyre, mënyrën se si ato mund të ndikojnë në marrjen e vendimeve që reflektohen në jetën dhe punën e tyre të përditshme, si dhe për të aksesuar më lehtë shërbimet që janë në kompetencën e tyre.</w:t>
      </w:r>
    </w:p>
    <w:p w14:paraId="4D5B08AA" w14:textId="77777777" w:rsidR="00853D0C" w:rsidRPr="00B4298C" w:rsidRDefault="00853D0C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25BABB23" w14:textId="0452A155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</w:p>
    <w:p w14:paraId="7103F345" w14:textId="1664B568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  <w:t xml:space="preserve">     </w:t>
      </w:r>
      <w:r w:rsidR="00B4298C" w:rsidRPr="00B4298C">
        <w:rPr>
          <w:rFonts w:ascii="StobiSerif Regular" w:eastAsia="Calibri" w:hAnsi="StobiSerif Regular"/>
          <w:snapToGrid/>
          <w:szCs w:val="24"/>
          <w:lang w:val="sq-AL"/>
        </w:rPr>
        <w:t>Drejtor</w:t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>,</w:t>
      </w:r>
    </w:p>
    <w:p w14:paraId="44D759D5" w14:textId="0F08D24F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</w:r>
      <w:r w:rsidRPr="00B4298C">
        <w:rPr>
          <w:rFonts w:ascii="StobiSerif Regular" w:eastAsia="Calibri" w:hAnsi="StobiSerif Regular"/>
          <w:snapToGrid/>
          <w:szCs w:val="24"/>
          <w:lang w:val="sq-AL"/>
        </w:rPr>
        <w:tab/>
        <w:t>Пламенка Бојчева</w:t>
      </w:r>
    </w:p>
    <w:p w14:paraId="1F3BB7EB" w14:textId="510B71FC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3F20B28E" w14:textId="646EBB8A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071D81B1" w14:textId="12050DA3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Cs w:val="24"/>
          <w:lang w:val="sq-AL"/>
        </w:rPr>
      </w:pPr>
    </w:p>
    <w:p w14:paraId="67FA7439" w14:textId="77777777" w:rsidR="0092435F" w:rsidRPr="00B4298C" w:rsidRDefault="0092435F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 w:val="20"/>
          <w:lang w:val="sq-AL"/>
        </w:rPr>
      </w:pPr>
    </w:p>
    <w:p w14:paraId="3BF03082" w14:textId="5FFDCFE4" w:rsidR="0092435F" w:rsidRPr="00B4298C" w:rsidRDefault="00B4298C" w:rsidP="003539E3">
      <w:pPr>
        <w:widowControl/>
        <w:spacing w:after="160" w:line="259" w:lineRule="auto"/>
        <w:ind w:firstLine="0"/>
        <w:rPr>
          <w:rFonts w:ascii="StobiSerif Regular" w:eastAsia="Calibri" w:hAnsi="StobiSerif Regular"/>
          <w:snapToGrid/>
          <w:sz w:val="20"/>
          <w:lang w:val="sq-AL"/>
        </w:rPr>
      </w:pPr>
      <w:r w:rsidRPr="00B4298C">
        <w:rPr>
          <w:rFonts w:ascii="StobiSerif Regular" w:eastAsia="Calibri" w:hAnsi="StobiSerif Regular"/>
          <w:snapToGrid/>
          <w:sz w:val="20"/>
          <w:lang w:val="sq-AL"/>
        </w:rPr>
        <w:t>Përgatiti: Oliver Serafimovski</w:t>
      </w:r>
    </w:p>
    <w:p w14:paraId="4D5683E0" w14:textId="5659CF3A" w:rsidR="00FB14BA" w:rsidRPr="00B4298C" w:rsidRDefault="00B4298C" w:rsidP="00B4298C">
      <w:pPr>
        <w:widowControl/>
        <w:spacing w:after="160" w:line="259" w:lineRule="auto"/>
        <w:ind w:firstLine="0"/>
        <w:rPr>
          <w:rFonts w:ascii="StobiSerif Regular" w:hAnsi="StobiSerif Regular" w:cs="Helvetica"/>
          <w:kern w:val="2"/>
          <w:szCs w:val="24"/>
          <w:lang w:val="sq-AL" w:eastAsia="zh-CN" w:bidi="my-MM"/>
        </w:rPr>
      </w:pPr>
      <w:r w:rsidRPr="00B4298C">
        <w:rPr>
          <w:rFonts w:ascii="StobiSerif Regular" w:eastAsia="Calibri" w:hAnsi="StobiSerif Regular"/>
          <w:snapToGrid/>
          <w:sz w:val="20"/>
          <w:lang w:val="sq-AL"/>
        </w:rPr>
        <w:t>Përktheu: m-r Valon Mustafa</w:t>
      </w:r>
      <w:bookmarkEnd w:id="3"/>
      <w:bookmarkEnd w:id="4"/>
    </w:p>
    <w:sectPr w:rsidR="00FB14BA" w:rsidRPr="00B4298C" w:rsidSect="007D311A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851" w:right="1134" w:bottom="1276" w:left="1276" w:header="567" w:footer="495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FB37" w14:textId="77777777" w:rsidR="006E5734" w:rsidRDefault="006E5734" w:rsidP="0039068A">
      <w:r>
        <w:separator/>
      </w:r>
    </w:p>
  </w:endnote>
  <w:endnote w:type="continuationSeparator" w:id="0">
    <w:p w14:paraId="7D054D48" w14:textId="77777777" w:rsidR="006E5734" w:rsidRDefault="006E5734" w:rsidP="003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899C" w14:textId="77777777" w:rsidR="0003628C" w:rsidRDefault="000362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4800A2" w14:textId="77777777" w:rsidR="00F426D1" w:rsidRDefault="00F426D1">
    <w:pPr>
      <w:ind w:firstLine="0"/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B466" w14:textId="77777777" w:rsidR="00F426D1" w:rsidRDefault="00F426D1">
    <w:pPr>
      <w:ind w:firstLine="0"/>
      <w:jc w:val="center"/>
      <w:rPr>
        <w:sz w:val="2"/>
      </w:rPr>
    </w:pPr>
    <w:r>
      <w:rPr>
        <w:sz w:val="2"/>
      </w:rPr>
      <w:t xml:space="preserve"> </w:t>
    </w:r>
  </w:p>
  <w:tbl>
    <w:tblPr>
      <w:tblpPr w:leftFromText="181" w:rightFromText="181" w:vertAnchor="page" w:horzAnchor="margin" w:tblpXSpec="center" w:tblpY="15798"/>
      <w:tblOverlap w:val="never"/>
      <w:tblW w:w="10915" w:type="dxa"/>
      <w:tblBorders>
        <w:top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15"/>
    </w:tblGrid>
    <w:tr w:rsidR="00F426D1" w14:paraId="34E4D12D" w14:textId="77777777" w:rsidTr="001F723F">
      <w:trPr>
        <w:cantSplit/>
        <w:trHeight w:hRule="exact" w:val="595"/>
      </w:trPr>
      <w:tc>
        <w:tcPr>
          <w:tcW w:w="10915" w:type="dxa"/>
          <w:vAlign w:val="center"/>
        </w:tcPr>
        <w:p w14:paraId="5CEE4DA6" w14:textId="4322D16A" w:rsidR="00F426D1" w:rsidRDefault="007D311A" w:rsidP="001F723F">
          <w:pPr>
            <w:ind w:firstLine="0"/>
            <w:rPr>
              <w:b/>
              <w:sz w:val="14"/>
              <w:szCs w:val="14"/>
            </w:rPr>
          </w:pPr>
          <w:r>
            <w:rPr>
              <w:sz w:val="14"/>
              <w:szCs w:val="14"/>
              <w:lang w:val="mk-MK"/>
            </w:rPr>
            <w:t xml:space="preserve">    </w:t>
          </w:r>
          <w:r w:rsidR="00F426D1">
            <w:rPr>
              <w:sz w:val="14"/>
              <w:szCs w:val="14"/>
              <w:lang w:val="mk-MK"/>
            </w:rPr>
            <w:t>Бул. „</w:t>
          </w:r>
          <w:r w:rsidR="00F426D1" w:rsidRPr="00EF3243">
            <w:rPr>
              <w:sz w:val="14"/>
              <w:szCs w:val="14"/>
              <w:lang w:val="mk-MK"/>
            </w:rPr>
            <w:t>Гоце Делчев</w:t>
          </w:r>
          <w:r w:rsidR="00F426D1">
            <w:rPr>
              <w:sz w:val="14"/>
              <w:szCs w:val="14"/>
              <w:lang w:val="mk-MK"/>
            </w:rPr>
            <w:t>“</w:t>
          </w:r>
          <w:r w:rsidR="00F426D1" w:rsidRPr="00EF3243">
            <w:rPr>
              <w:sz w:val="14"/>
              <w:szCs w:val="14"/>
              <w:lang w:val="mk-MK"/>
            </w:rPr>
            <w:t xml:space="preserve"> бр.1</w:t>
          </w:r>
          <w:r w:rsidR="00F426D1" w:rsidRPr="00EF3243">
            <w:rPr>
              <w:sz w:val="14"/>
              <w:szCs w:val="14"/>
            </w:rPr>
            <w:t>8 Скопје, П.Фах.561</w:t>
          </w:r>
          <w:r w:rsidR="00F426D1">
            <w:rPr>
              <w:sz w:val="14"/>
              <w:szCs w:val="14"/>
              <w:lang w:val="mk-MK"/>
            </w:rPr>
            <w:t xml:space="preserve"> </w:t>
          </w:r>
          <w:r w:rsidR="00F426D1">
            <w:rPr>
              <w:sz w:val="14"/>
              <w:szCs w:val="14"/>
            </w:rPr>
            <w:t xml:space="preserve">                         </w:t>
          </w:r>
          <w:r w:rsidR="00F426D1" w:rsidRPr="00EF3243">
            <w:rPr>
              <w:sz w:val="14"/>
              <w:szCs w:val="14"/>
            </w:rPr>
            <w:t xml:space="preserve"> </w:t>
          </w:r>
          <w:r w:rsidR="00F426D1">
            <w:rPr>
              <w:sz w:val="14"/>
              <w:szCs w:val="14"/>
            </w:rPr>
            <w:t xml:space="preserve">   </w:t>
          </w:r>
          <w:r w:rsidR="00F426D1" w:rsidRPr="00EF3243">
            <w:rPr>
              <w:sz w:val="14"/>
              <w:szCs w:val="14"/>
            </w:rPr>
            <w:t>тел.</w:t>
          </w:r>
          <w:r w:rsidR="00F426D1">
            <w:rPr>
              <w:sz w:val="14"/>
              <w:szCs w:val="14"/>
            </w:rPr>
            <w:t xml:space="preserve"> </w:t>
          </w:r>
          <w:r w:rsidR="00F426D1" w:rsidRPr="00497E77">
            <w:rPr>
              <w:b/>
              <w:sz w:val="14"/>
              <w:szCs w:val="14"/>
            </w:rPr>
            <w:t>/</w:t>
          </w:r>
          <w:r w:rsidR="00F426D1">
            <w:rPr>
              <w:sz w:val="14"/>
              <w:szCs w:val="14"/>
            </w:rPr>
            <w:t xml:space="preserve"> tel. </w:t>
          </w:r>
          <w:r w:rsidR="00F426D1" w:rsidRPr="00497E77">
            <w:rPr>
              <w:b/>
              <w:sz w:val="14"/>
              <w:szCs w:val="14"/>
            </w:rPr>
            <w:t>/</w:t>
          </w:r>
          <w:r w:rsidR="00F426D1">
            <w:rPr>
              <w:sz w:val="14"/>
              <w:szCs w:val="14"/>
            </w:rPr>
            <w:t xml:space="preserve"> </w:t>
          </w:r>
          <w:r w:rsidR="00F426D1" w:rsidRPr="00EF3243">
            <w:rPr>
              <w:sz w:val="14"/>
              <w:szCs w:val="14"/>
            </w:rPr>
            <w:t>phone:</w:t>
          </w:r>
          <w:r w:rsidR="00F426D1">
            <w:rPr>
              <w:sz w:val="14"/>
              <w:szCs w:val="14"/>
            </w:rPr>
            <w:t xml:space="preserve"> </w:t>
          </w:r>
          <w:r w:rsidR="00F426D1" w:rsidRPr="00EF3243">
            <w:rPr>
              <w:sz w:val="14"/>
              <w:szCs w:val="14"/>
            </w:rPr>
            <w:t xml:space="preserve">+389 2 </w:t>
          </w:r>
          <w:r w:rsidR="00F426D1" w:rsidRPr="00EF3243">
            <w:rPr>
              <w:sz w:val="14"/>
              <w:szCs w:val="14"/>
              <w:lang w:val="mk-MK"/>
            </w:rPr>
            <w:t>3</w:t>
          </w:r>
          <w:r w:rsidR="00F426D1" w:rsidRPr="00EF3243">
            <w:rPr>
              <w:sz w:val="14"/>
              <w:szCs w:val="14"/>
            </w:rPr>
            <w:t>127 453</w:t>
          </w:r>
          <w:r w:rsidR="00F426D1">
            <w:rPr>
              <w:sz w:val="14"/>
              <w:szCs w:val="14"/>
              <w:lang w:val="mk-MK"/>
            </w:rPr>
            <w:t>;</w:t>
          </w:r>
          <w:r w:rsidR="00F426D1">
            <w:rPr>
              <w:sz w:val="14"/>
              <w:szCs w:val="14"/>
            </w:rPr>
            <w:t xml:space="preserve"> </w:t>
          </w:r>
          <w:r w:rsidR="00F426D1" w:rsidRPr="00EF3243">
            <w:rPr>
              <w:sz w:val="14"/>
              <w:szCs w:val="14"/>
            </w:rPr>
            <w:t xml:space="preserve">+389 2 </w:t>
          </w:r>
          <w:r w:rsidR="00F426D1" w:rsidRPr="00EF3243">
            <w:rPr>
              <w:sz w:val="14"/>
              <w:szCs w:val="14"/>
              <w:lang w:val="mk-MK"/>
            </w:rPr>
            <w:t>3</w:t>
          </w:r>
          <w:r w:rsidR="00F426D1" w:rsidRPr="00EF3243">
            <w:rPr>
              <w:sz w:val="14"/>
              <w:szCs w:val="14"/>
            </w:rPr>
            <w:t xml:space="preserve">118 038 </w:t>
          </w:r>
          <w:r w:rsidR="00F426D1">
            <w:rPr>
              <w:sz w:val="14"/>
              <w:szCs w:val="14"/>
            </w:rPr>
            <w:t xml:space="preserve">                                            </w:t>
          </w:r>
          <w:r w:rsidR="00F426D1" w:rsidRPr="00EF3243">
            <w:rPr>
              <w:sz w:val="14"/>
              <w:szCs w:val="14"/>
            </w:rPr>
            <w:t xml:space="preserve">Web: </w:t>
          </w:r>
          <w:hyperlink r:id="rId1" w:history="1">
            <w:r w:rsidR="00F426D1" w:rsidRPr="00EF3243">
              <w:rPr>
                <w:rStyle w:val="Hyperlink"/>
                <w:sz w:val="14"/>
                <w:szCs w:val="14"/>
              </w:rPr>
              <w:t>http://www.</w:t>
            </w:r>
            <w:r w:rsidR="00F426D1">
              <w:rPr>
                <w:rStyle w:val="Hyperlink"/>
                <w:sz w:val="14"/>
                <w:szCs w:val="14"/>
              </w:rPr>
              <w:t>a</w:t>
            </w:r>
            <w:r w:rsidR="00F426D1" w:rsidRPr="00EF3243">
              <w:rPr>
                <w:rStyle w:val="Hyperlink"/>
                <w:sz w:val="14"/>
                <w:szCs w:val="14"/>
              </w:rPr>
              <w:t>spi.mk</w:t>
            </w:r>
          </w:hyperlink>
        </w:p>
        <w:p w14:paraId="3D25B3AC" w14:textId="59B241AC" w:rsidR="00F426D1" w:rsidRDefault="007D311A" w:rsidP="001F723F">
          <w:pPr>
            <w:ind w:firstLine="0"/>
          </w:pPr>
          <w:r>
            <w:rPr>
              <w:sz w:val="14"/>
              <w:szCs w:val="14"/>
              <w:lang w:val="mk-MK"/>
            </w:rPr>
            <w:t xml:space="preserve">    </w:t>
          </w:r>
          <w:r w:rsidR="00F426D1">
            <w:rPr>
              <w:sz w:val="14"/>
              <w:szCs w:val="14"/>
            </w:rPr>
            <w:t xml:space="preserve">Bul.  "Goce Dellçev" nr.18 Shkup F.P.561                                     </w:t>
          </w:r>
          <w:r w:rsidR="00F426D1" w:rsidRPr="00E42756">
            <w:rPr>
              <w:sz w:val="14"/>
              <w:szCs w:val="14"/>
            </w:rPr>
            <w:t>факс</w:t>
          </w:r>
          <w:r w:rsidR="00F426D1">
            <w:rPr>
              <w:sz w:val="14"/>
              <w:szCs w:val="14"/>
            </w:rPr>
            <w:t xml:space="preserve"> </w:t>
          </w:r>
          <w:r w:rsidR="00F426D1" w:rsidRPr="00CF0748">
            <w:rPr>
              <w:b/>
              <w:sz w:val="14"/>
              <w:szCs w:val="14"/>
            </w:rPr>
            <w:t>/</w:t>
          </w:r>
          <w:r w:rsidR="00F426D1">
            <w:rPr>
              <w:sz w:val="14"/>
              <w:szCs w:val="14"/>
            </w:rPr>
            <w:t xml:space="preserve"> faks </w:t>
          </w:r>
          <w:r w:rsidR="00F426D1" w:rsidRPr="00CF0748">
            <w:rPr>
              <w:b/>
              <w:sz w:val="14"/>
              <w:szCs w:val="14"/>
            </w:rPr>
            <w:t>/</w:t>
          </w:r>
          <w:r w:rsidR="00F426D1">
            <w:rPr>
              <w:sz w:val="14"/>
              <w:szCs w:val="14"/>
            </w:rPr>
            <w:t xml:space="preserve"> </w:t>
          </w:r>
          <w:r w:rsidR="00F426D1" w:rsidRPr="00E42756">
            <w:rPr>
              <w:sz w:val="14"/>
              <w:szCs w:val="14"/>
            </w:rPr>
            <w:t>fax:</w:t>
          </w:r>
          <w:r w:rsidR="00F426D1">
            <w:rPr>
              <w:sz w:val="14"/>
              <w:szCs w:val="14"/>
            </w:rPr>
            <w:t xml:space="preserve">   +389 2 </w:t>
          </w:r>
          <w:r w:rsidR="00F426D1" w:rsidRPr="00EF3243">
            <w:rPr>
              <w:sz w:val="14"/>
              <w:szCs w:val="14"/>
              <w:lang w:val="mk-MK"/>
            </w:rPr>
            <w:t>3</w:t>
          </w:r>
          <w:r w:rsidR="00F426D1">
            <w:rPr>
              <w:sz w:val="14"/>
              <w:szCs w:val="14"/>
            </w:rPr>
            <w:t xml:space="preserve">114 695 </w:t>
          </w:r>
          <w:r w:rsidR="00F426D1" w:rsidRPr="00EF3243">
            <w:rPr>
              <w:sz w:val="14"/>
              <w:szCs w:val="14"/>
            </w:rPr>
            <w:t xml:space="preserve"> </w:t>
          </w:r>
          <w:r w:rsidR="00F426D1">
            <w:rPr>
              <w:sz w:val="14"/>
              <w:szCs w:val="14"/>
            </w:rPr>
            <w:t xml:space="preserve">                                                                        </w:t>
          </w:r>
          <w:r w:rsidR="00F426D1" w:rsidRPr="00EF3243">
            <w:rPr>
              <w:sz w:val="14"/>
              <w:szCs w:val="14"/>
            </w:rPr>
            <w:t>e-mail:</w:t>
          </w:r>
          <w:r w:rsidR="00F426D1" w:rsidRPr="00EF3243">
            <w:rPr>
              <w:sz w:val="14"/>
              <w:szCs w:val="14"/>
              <w:lang w:val="mk-MK"/>
            </w:rPr>
            <w:t xml:space="preserve"> </w:t>
          </w:r>
          <w:hyperlink r:id="rId2" w:history="1">
            <w:r w:rsidR="00F426D1">
              <w:rPr>
                <w:rStyle w:val="Hyperlink"/>
                <w:sz w:val="14"/>
                <w:szCs w:val="14"/>
              </w:rPr>
              <w:t>a</w:t>
            </w:r>
            <w:r w:rsidR="00F426D1" w:rsidRPr="00EF3243">
              <w:rPr>
                <w:rStyle w:val="Hyperlink"/>
                <w:sz w:val="14"/>
                <w:szCs w:val="14"/>
              </w:rPr>
              <w:t>spi@</w:t>
            </w:r>
            <w:r w:rsidR="00F426D1">
              <w:rPr>
                <w:rStyle w:val="Hyperlink"/>
                <w:sz w:val="14"/>
                <w:szCs w:val="14"/>
              </w:rPr>
              <w:t>a</w:t>
            </w:r>
            <w:r w:rsidR="00F426D1" w:rsidRPr="00EF3243">
              <w:rPr>
                <w:rStyle w:val="Hyperlink"/>
                <w:sz w:val="14"/>
                <w:szCs w:val="14"/>
              </w:rPr>
              <w:t>spi.mk</w:t>
            </w:r>
          </w:hyperlink>
        </w:p>
        <w:p w14:paraId="6A6A9A35" w14:textId="795A5332" w:rsidR="00F426D1" w:rsidRDefault="007D311A" w:rsidP="001F723F">
          <w:pPr>
            <w:ind w:firstLine="0"/>
            <w:rPr>
              <w:sz w:val="14"/>
              <w:szCs w:val="14"/>
            </w:rPr>
          </w:pPr>
          <w:r>
            <w:rPr>
              <w:sz w:val="14"/>
              <w:szCs w:val="14"/>
              <w:lang w:val="mk-MK"/>
            </w:rPr>
            <w:t xml:space="preserve">    </w:t>
          </w:r>
          <w:r w:rsidR="00F426D1">
            <w:rPr>
              <w:sz w:val="14"/>
              <w:szCs w:val="14"/>
            </w:rPr>
            <w:t>Blvd."</w:t>
          </w:r>
          <w:r w:rsidR="00F426D1" w:rsidRPr="00EF3243">
            <w:rPr>
              <w:sz w:val="14"/>
              <w:szCs w:val="14"/>
            </w:rPr>
            <w:t>Goce Delcev</w:t>
          </w:r>
          <w:r w:rsidR="00F426D1">
            <w:rPr>
              <w:sz w:val="14"/>
              <w:szCs w:val="14"/>
            </w:rPr>
            <w:t>"</w:t>
          </w:r>
          <w:r w:rsidR="00F426D1" w:rsidRPr="00EF3243">
            <w:rPr>
              <w:sz w:val="14"/>
              <w:szCs w:val="14"/>
            </w:rPr>
            <w:t xml:space="preserve"> no.</w:t>
          </w:r>
          <w:r w:rsidR="00F426D1" w:rsidRPr="00EF3243">
            <w:rPr>
              <w:sz w:val="14"/>
              <w:szCs w:val="14"/>
              <w:lang w:val="mk-MK"/>
            </w:rPr>
            <w:t>1</w:t>
          </w:r>
          <w:r w:rsidR="00F426D1" w:rsidRPr="00EF3243">
            <w:rPr>
              <w:sz w:val="14"/>
              <w:szCs w:val="14"/>
            </w:rPr>
            <w:t>8 Skopje, PO.Box.561</w:t>
          </w:r>
        </w:p>
        <w:p w14:paraId="16AAE376" w14:textId="77777777" w:rsidR="00F426D1" w:rsidRPr="006D3BAF" w:rsidRDefault="00F426D1" w:rsidP="001F723F">
          <w:pPr>
            <w:ind w:firstLine="0"/>
            <w:jc w:val="center"/>
            <w:rPr>
              <w:sz w:val="14"/>
              <w:szCs w:val="14"/>
              <w:lang w:val="mk-MK"/>
            </w:rPr>
          </w:pPr>
          <w:r w:rsidRPr="00EF3243">
            <w:rPr>
              <w:sz w:val="14"/>
              <w:szCs w:val="14"/>
            </w:rPr>
            <w:t>,</w:t>
          </w:r>
          <w:r>
            <w:rPr>
              <w:sz w:val="14"/>
              <w:szCs w:val="14"/>
            </w:rPr>
            <w:t xml:space="preserve"> </w:t>
          </w:r>
        </w:p>
      </w:tc>
    </w:tr>
    <w:tr w:rsidR="00F426D1" w14:paraId="27207453" w14:textId="77777777" w:rsidTr="001F723F">
      <w:trPr>
        <w:cantSplit/>
        <w:trHeight w:hRule="exact" w:val="543"/>
      </w:trPr>
      <w:tc>
        <w:tcPr>
          <w:tcW w:w="10915" w:type="dxa"/>
          <w:vAlign w:val="center"/>
        </w:tcPr>
        <w:p w14:paraId="493984BD" w14:textId="77777777" w:rsidR="00F426D1" w:rsidRPr="00EF3243" w:rsidRDefault="00F426D1" w:rsidP="001F723F">
          <w:pPr>
            <w:tabs>
              <w:tab w:val="left" w:pos="2835"/>
            </w:tabs>
            <w:ind w:firstLine="0"/>
            <w:jc w:val="center"/>
            <w:rPr>
              <w:sz w:val="14"/>
              <w:szCs w:val="14"/>
              <w:lang w:val="mk-MK"/>
            </w:rPr>
          </w:pPr>
          <w:r>
            <w:rPr>
              <w:sz w:val="14"/>
              <w:szCs w:val="14"/>
            </w:rPr>
            <w:t xml:space="preserve">         </w:t>
          </w:r>
        </w:p>
        <w:p w14:paraId="3EA614E3" w14:textId="77777777" w:rsidR="00F426D1" w:rsidRPr="00D2149D" w:rsidRDefault="00F426D1" w:rsidP="001F723F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  <w:p w14:paraId="047C1439" w14:textId="77777777" w:rsidR="00F426D1" w:rsidRPr="00D2149D" w:rsidRDefault="00F426D1" w:rsidP="001F723F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</w:tc>
    </w:tr>
  </w:tbl>
  <w:p w14:paraId="231B4EAC" w14:textId="77777777" w:rsidR="00F426D1" w:rsidRDefault="00F426D1">
    <w:pPr>
      <w:ind w:firstLine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9F6F" w14:textId="77777777" w:rsidR="006E5734" w:rsidRDefault="006E5734" w:rsidP="0039068A">
      <w:r>
        <w:separator/>
      </w:r>
    </w:p>
  </w:footnote>
  <w:footnote w:type="continuationSeparator" w:id="0">
    <w:p w14:paraId="32965C20" w14:textId="77777777" w:rsidR="006E5734" w:rsidRDefault="006E5734" w:rsidP="0039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Spec="center" w:tblpY="568"/>
      <w:tblOverlap w:val="never"/>
      <w:tblW w:w="0" w:type="auto"/>
      <w:tblLook w:val="01E0" w:firstRow="1" w:lastRow="1" w:firstColumn="1" w:lastColumn="1" w:noHBand="0" w:noVBand="0"/>
    </w:tblPr>
    <w:tblGrid>
      <w:gridCol w:w="9497"/>
    </w:tblGrid>
    <w:tr w:rsidR="00F426D1" w14:paraId="6DA54433" w14:textId="77777777" w:rsidTr="006B057F">
      <w:trPr>
        <w:cantSplit/>
        <w:trHeight w:val="80"/>
      </w:trPr>
      <w:tc>
        <w:tcPr>
          <w:tcW w:w="8886" w:type="dxa"/>
          <w:vAlign w:val="center"/>
        </w:tcPr>
        <w:p w14:paraId="65DD1616" w14:textId="77777777" w:rsidR="00F426D1" w:rsidRDefault="00F426D1">
          <w:pPr>
            <w:pStyle w:val="a"/>
          </w:pPr>
        </w:p>
      </w:tc>
    </w:tr>
    <w:tr w:rsidR="00F426D1" w14:paraId="19BDD9F3" w14:textId="77777777" w:rsidTr="003B34DE">
      <w:trPr>
        <w:cantSplit/>
        <w:trHeight w:val="2365"/>
      </w:trPr>
      <w:tc>
        <w:tcPr>
          <w:tcW w:w="8886" w:type="dxa"/>
          <w:tcBorders>
            <w:bottom w:val="nil"/>
          </w:tcBorders>
          <w:vAlign w:val="center"/>
        </w:tcPr>
        <w:p w14:paraId="78363C2E" w14:textId="23AA529C" w:rsidR="00F426D1" w:rsidRDefault="00717D12" w:rsidP="00251D3E">
          <w:pPr>
            <w:pStyle w:val="a"/>
          </w:pPr>
          <w:r w:rsidRPr="00F97FA1">
            <w:rPr>
              <w:rFonts w:ascii="MAC C Times" w:hAnsi="MAC C Times"/>
              <w:noProof/>
            </w:rPr>
            <w:drawing>
              <wp:inline distT="0" distB="0" distL="0" distR="0" wp14:anchorId="0F2C1EFD" wp14:editId="344A5BA3">
                <wp:extent cx="381000" cy="4038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AFA107" w14:textId="77777777" w:rsidR="00F426D1" w:rsidRPr="00251D3E" w:rsidRDefault="00F426D1" w:rsidP="00367D59">
          <w:pPr>
            <w:pStyle w:val="a"/>
            <w:rPr>
              <w:rFonts w:cs="Arial"/>
              <w:sz w:val="12"/>
              <w:szCs w:val="12"/>
              <w:lang w:val="mk-MK"/>
            </w:rPr>
          </w:pPr>
          <w:r w:rsidRPr="00251D3E">
            <w:rPr>
              <w:rFonts w:cs="Arial"/>
              <w:sz w:val="12"/>
              <w:szCs w:val="12"/>
              <w:lang w:val="mk-MK"/>
            </w:rPr>
            <w:t>РЕПУБЛИКА</w:t>
          </w:r>
          <w:r w:rsidRPr="00251D3E">
            <w:rPr>
              <w:rFonts w:cs="Arial"/>
              <w:sz w:val="12"/>
              <w:szCs w:val="12"/>
            </w:rPr>
            <w:t xml:space="preserve"> </w:t>
          </w:r>
          <w:r w:rsidRPr="00251D3E">
            <w:rPr>
              <w:rFonts w:cs="Arial"/>
              <w:sz w:val="12"/>
              <w:szCs w:val="12"/>
              <w:lang w:val="mk-MK"/>
            </w:rPr>
            <w:t>СЕВЕРНА МАКЕДОНИЈА</w:t>
          </w:r>
        </w:p>
        <w:p w14:paraId="13C16E2D" w14:textId="77777777" w:rsidR="00F426D1" w:rsidRDefault="00F426D1" w:rsidP="00367D59">
          <w:pPr>
            <w:pStyle w:val="a"/>
            <w:rPr>
              <w:rFonts w:cs="Arial"/>
              <w:sz w:val="12"/>
              <w:szCs w:val="12"/>
              <w:lang w:val="sq-AL"/>
            </w:rPr>
          </w:pPr>
          <w:r w:rsidRPr="00251D3E">
            <w:rPr>
              <w:rFonts w:cs="Arial"/>
              <w:sz w:val="12"/>
              <w:szCs w:val="12"/>
              <w:lang w:val="sq-AL"/>
            </w:rPr>
            <w:t>REPUBLIKA E MAQEDONISË SË VERIUT</w:t>
          </w:r>
        </w:p>
        <w:p w14:paraId="7EAC65A6" w14:textId="77777777" w:rsidR="00F426D1" w:rsidRPr="00304E88" w:rsidRDefault="00000000" w:rsidP="00367D59">
          <w:pPr>
            <w:pStyle w:val="a"/>
            <w:rPr>
              <w:rFonts w:cs="Arial"/>
              <w:sz w:val="20"/>
              <w:lang w:val="sq-AL"/>
            </w:rPr>
          </w:pPr>
          <w:r>
            <w:rPr>
              <w:rFonts w:cs="Arial"/>
              <w:noProof/>
              <w:snapToGrid/>
              <w:sz w:val="20"/>
            </w:rPr>
            <w:object w:dxaOrig="1440" w:dyaOrig="1440" w14:anchorId="2163DC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.9pt;margin-top:3.05pt;width:15.45pt;height:35.3pt;z-index:251655680;mso-wrap-edited:f" wrapcoords="7800 260 3600 1041 600 2863 600 5725 7200 8588 10200 8588 1200 10670 -600 11451 -600 21080 21600 21080 21600 11711 20400 10930 15000 8588 20400 5205 21000 3383 17400 1041 13200 260 7800 260" fillcolor="#0c9">
                <v:imagedata r:id="rId2" o:title=""/>
              </v:shape>
              <o:OLEObject Type="Embed" ProgID="CorelDRAW.Graphic.9" ShapeID="_x0000_s1025" DrawAspect="Content" ObjectID="_1795933423" r:id="rId3"/>
            </w:object>
          </w:r>
          <w:r w:rsidR="00F426D1">
            <w:rPr>
              <w:rFonts w:cs="Arial"/>
              <w:sz w:val="12"/>
              <w:szCs w:val="12"/>
              <w:lang w:val="sq-AL"/>
            </w:rPr>
            <w:t>REPUBLIC OF NORTH MACEDONIA</w:t>
          </w:r>
        </w:p>
        <w:p w14:paraId="36C47F13" w14:textId="74C5395D" w:rsidR="00F426D1" w:rsidRPr="00251D3E" w:rsidRDefault="00717D12" w:rsidP="00251D3E">
          <w:pPr>
            <w:pStyle w:val="a"/>
            <w:jc w:val="both"/>
            <w:rPr>
              <w:sz w:val="20"/>
              <w:lang w:val="ru-RU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0F1AA4D4" wp14:editId="08E5D912">
                <wp:simplePos x="0" y="0"/>
                <wp:positionH relativeFrom="column">
                  <wp:posOffset>5716905</wp:posOffset>
                </wp:positionH>
                <wp:positionV relativeFrom="paragraph">
                  <wp:posOffset>106045</wp:posOffset>
                </wp:positionV>
                <wp:extent cx="563880" cy="35496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4BD9CA" w14:textId="77777777" w:rsidR="00F426D1" w:rsidRPr="00251D3E" w:rsidRDefault="00F426D1" w:rsidP="003C794C">
          <w:pPr>
            <w:pStyle w:val="a"/>
            <w:rPr>
              <w:sz w:val="14"/>
              <w:szCs w:val="14"/>
              <w:lang w:val="ru-RU"/>
            </w:rPr>
          </w:pPr>
          <w:r w:rsidRPr="00251D3E">
            <w:rPr>
              <w:sz w:val="14"/>
              <w:szCs w:val="14"/>
              <w:lang w:val="mk-MK"/>
            </w:rPr>
            <w:t>АГЕНЦИЈА ЗА ЗАШТИТА НА ПРАВОТО</w:t>
          </w:r>
          <w:r w:rsidRPr="00251D3E">
            <w:rPr>
              <w:sz w:val="14"/>
              <w:szCs w:val="14"/>
              <w:lang w:val="ru-RU"/>
            </w:rPr>
            <w:t xml:space="preserve"> </w:t>
          </w:r>
          <w:r w:rsidRPr="00251D3E">
            <w:rPr>
              <w:sz w:val="14"/>
              <w:szCs w:val="14"/>
              <w:lang w:val="mk-MK"/>
            </w:rPr>
            <w:t xml:space="preserve"> НА СЛОБОДЕН ПРИСТАП</w:t>
          </w:r>
          <w:r w:rsidRPr="00251D3E">
            <w:rPr>
              <w:sz w:val="14"/>
              <w:szCs w:val="14"/>
              <w:lang w:val="ru-RU"/>
            </w:rPr>
            <w:t xml:space="preserve"> </w:t>
          </w:r>
          <w:r w:rsidRPr="00251D3E">
            <w:rPr>
              <w:sz w:val="14"/>
              <w:szCs w:val="14"/>
              <w:lang w:val="mk-MK"/>
            </w:rPr>
            <w:t>ДО ИНФОРМАЦИИТЕ ОД ЈАВЕН КАРАКТЕР</w:t>
          </w:r>
        </w:p>
        <w:p w14:paraId="17EEE4B7" w14:textId="77777777" w:rsidR="00F426D1" w:rsidRDefault="00F426D1" w:rsidP="003C794C">
          <w:pPr>
            <w:pStyle w:val="a"/>
            <w:rPr>
              <w:sz w:val="14"/>
              <w:szCs w:val="14"/>
              <w:lang w:val="sq-AL"/>
            </w:rPr>
          </w:pPr>
          <w:r w:rsidRPr="00251D3E">
            <w:rPr>
              <w:sz w:val="14"/>
              <w:szCs w:val="14"/>
            </w:rPr>
            <w:t>A</w:t>
          </w:r>
          <w:r w:rsidRPr="00251D3E">
            <w:rPr>
              <w:sz w:val="14"/>
              <w:szCs w:val="14"/>
              <w:lang w:val="sq-AL"/>
            </w:rPr>
            <w:t>GJENCIA E MBROJTJES TË SË DREJTËS PËR QASJE TË LIRË NË INFORMACIONE ME KARAKTER PUBLIK</w:t>
          </w:r>
          <w:r>
            <w:rPr>
              <w:sz w:val="14"/>
              <w:szCs w:val="14"/>
              <w:lang w:val="sq-AL"/>
            </w:rPr>
            <w:t xml:space="preserve">         </w:t>
          </w:r>
        </w:p>
        <w:p w14:paraId="42C8FB26" w14:textId="77777777" w:rsidR="00F426D1" w:rsidRDefault="00F426D1" w:rsidP="003C794C">
          <w:pPr>
            <w:pStyle w:val="a"/>
            <w:rPr>
              <w:sz w:val="14"/>
              <w:szCs w:val="14"/>
              <w:lang w:val="sq-AL"/>
            </w:rPr>
          </w:pPr>
          <w:r>
            <w:rPr>
              <w:sz w:val="14"/>
              <w:szCs w:val="14"/>
              <w:lang w:val="sq-AL"/>
            </w:rPr>
            <w:t>AGENCY FOR PROTECTION OF THE RIGHT TO FREE ACCESS TO PUBLIC INFORMATION</w:t>
          </w:r>
        </w:p>
        <w:tbl>
          <w:tblPr>
            <w:tblpPr w:leftFromText="181" w:rightFromText="181" w:vertAnchor="page" w:horzAnchor="page" w:tblpXSpec="center" w:tblpY="1838"/>
            <w:tblOverlap w:val="never"/>
            <w:tblW w:w="10177" w:type="dxa"/>
            <w:tblLook w:val="01E0" w:firstRow="1" w:lastRow="1" w:firstColumn="1" w:lastColumn="1" w:noHBand="0" w:noVBand="0"/>
          </w:tblPr>
          <w:tblGrid>
            <w:gridCol w:w="5010"/>
            <w:gridCol w:w="5167"/>
          </w:tblGrid>
          <w:tr w:rsidR="00F426D1" w14:paraId="6DFBD023" w14:textId="77777777" w:rsidTr="00CC7EDC">
            <w:trPr>
              <w:cantSplit/>
              <w:trHeight w:val="276"/>
            </w:trPr>
            <w:tc>
              <w:tcPr>
                <w:tcW w:w="5088" w:type="dxa"/>
                <w:tcBorders>
                  <w:top w:val="single" w:sz="4" w:space="0" w:color="auto"/>
                </w:tcBorders>
                <w:vAlign w:val="center"/>
              </w:tcPr>
              <w:p w14:paraId="3357C343" w14:textId="77777777" w:rsidR="00F426D1" w:rsidRPr="00251D3E" w:rsidRDefault="00F426D1" w:rsidP="003B34DE">
                <w:pPr>
                  <w:pStyle w:val="a0"/>
                  <w:tabs>
                    <w:tab w:val="left" w:leader="underscore" w:pos="142"/>
                  </w:tabs>
                  <w:jc w:val="both"/>
                  <w:rPr>
                    <w:rFonts w:cs="Arial"/>
                    <w:sz w:val="18"/>
                    <w:szCs w:val="18"/>
                    <w:lang w:val="ru-RU"/>
                  </w:rPr>
                </w:pPr>
                <w:r w:rsidRPr="00251D3E">
                  <w:rPr>
                    <w:rFonts w:cs="Arial"/>
                    <w:sz w:val="18"/>
                    <w:szCs w:val="18"/>
                    <w:lang w:val="ru-RU"/>
                  </w:rPr>
                  <w:t xml:space="preserve">        </w:t>
                </w:r>
              </w:p>
              <w:p w14:paraId="48EAAEBE" w14:textId="77777777" w:rsidR="00F426D1" w:rsidRPr="00251D3E" w:rsidRDefault="00F426D1" w:rsidP="003B34DE">
                <w:pPr>
                  <w:pStyle w:val="a0"/>
                  <w:tabs>
                    <w:tab w:val="left" w:leader="underscore" w:pos="142"/>
                  </w:tabs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1D3E">
                  <w:rPr>
                    <w:rFonts w:cs="Arial"/>
                    <w:sz w:val="18"/>
                    <w:szCs w:val="18"/>
                    <w:lang w:val="ru-RU"/>
                  </w:rPr>
                  <w:t xml:space="preserve">        Бр.</w:t>
                </w:r>
                <w:r w:rsidRPr="00251D3E">
                  <w:rPr>
                    <w:rFonts w:cs="Arial"/>
                    <w:sz w:val="18"/>
                    <w:szCs w:val="18"/>
                    <w:lang w:val="sq-AL"/>
                  </w:rPr>
                  <w:t>/</w:t>
                </w:r>
                <w:r>
                  <w:rPr>
                    <w:rFonts w:cs="Arial"/>
                    <w:sz w:val="18"/>
                    <w:szCs w:val="18"/>
                    <w:lang w:val="sq-AL"/>
                  </w:rPr>
                  <w:t xml:space="preserve"> </w:t>
                </w:r>
                <w:r w:rsidRPr="00251D3E">
                  <w:rPr>
                    <w:rFonts w:cs="Arial"/>
                    <w:sz w:val="18"/>
                    <w:szCs w:val="18"/>
                    <w:lang w:val="sq-AL"/>
                  </w:rPr>
                  <w:t>Nr.</w:t>
                </w:r>
                <w:r>
                  <w:rPr>
                    <w:rFonts w:cs="Arial"/>
                    <w:sz w:val="18"/>
                    <w:szCs w:val="18"/>
                    <w:lang w:val="sq-AL"/>
                  </w:rPr>
                  <w:t>/ No.</w:t>
                </w:r>
                <w:r w:rsidRPr="00251D3E">
                  <w:rPr>
                    <w:rFonts w:cs="Arial"/>
                    <w:sz w:val="18"/>
                    <w:szCs w:val="18"/>
                  </w:rPr>
                  <w:t xml:space="preserve"> ___________________</w:t>
                </w:r>
              </w:p>
            </w:tc>
            <w:tc>
              <w:tcPr>
                <w:tcW w:w="5089" w:type="dxa"/>
                <w:tcBorders>
                  <w:top w:val="single" w:sz="4" w:space="0" w:color="auto"/>
                </w:tcBorders>
                <w:vAlign w:val="center"/>
              </w:tcPr>
              <w:p w14:paraId="6E3E7AD9" w14:textId="77777777" w:rsidR="00F426D1" w:rsidRPr="00DA3007" w:rsidRDefault="00F426D1" w:rsidP="00F84D63">
                <w:pPr>
                  <w:pStyle w:val="a0"/>
                  <w:tabs>
                    <w:tab w:val="left" w:leader="underscore" w:pos="1985"/>
                  </w:tabs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1D3E">
                  <w:rPr>
                    <w:rFonts w:cs="Arial"/>
                    <w:sz w:val="18"/>
                    <w:szCs w:val="18"/>
                  </w:rPr>
                  <w:t xml:space="preserve">         </w:t>
                </w:r>
                <w:r w:rsidRPr="00251D3E">
                  <w:rPr>
                    <w:rFonts w:cs="Arial"/>
                    <w:sz w:val="18"/>
                    <w:szCs w:val="18"/>
                    <w:lang w:val="mk-MK"/>
                  </w:rPr>
                  <w:t>Скопје</w:t>
                </w:r>
                <w:r w:rsidRPr="00251D3E">
                  <w:rPr>
                    <w:rFonts w:cs="Arial"/>
                    <w:sz w:val="18"/>
                    <w:szCs w:val="18"/>
                  </w:rPr>
                  <w:t>,Shkup</w:t>
                </w:r>
                <w:r>
                  <w:rPr>
                    <w:rFonts w:cs="Arial"/>
                    <w:sz w:val="18"/>
                    <w:szCs w:val="18"/>
                  </w:rPr>
                  <w:t>,Skopje</w:t>
                </w:r>
                <w:r w:rsidRPr="00251D3E">
                  <w:rPr>
                    <w:rFonts w:cs="Arial"/>
                    <w:sz w:val="18"/>
                    <w:szCs w:val="18"/>
                  </w:rPr>
                  <w:t>________________20</w:t>
                </w:r>
                <w:r w:rsidRPr="00251D3E">
                  <w:rPr>
                    <w:rFonts w:cs="Arial"/>
                    <w:sz w:val="18"/>
                    <w:szCs w:val="18"/>
                    <w:lang w:val="mk-MK"/>
                  </w:rPr>
                  <w:t>2</w:t>
                </w:r>
                <w:r w:rsidR="00DA3007">
                  <w:rPr>
                    <w:rFonts w:cs="Arial"/>
                    <w:sz w:val="18"/>
                    <w:szCs w:val="18"/>
                    <w:lang w:val="mk-MK"/>
                  </w:rPr>
                  <w:t>4</w:t>
                </w:r>
                <w:r w:rsidRPr="00251D3E">
                  <w:rPr>
                    <w:rFonts w:cs="Arial"/>
                    <w:sz w:val="18"/>
                    <w:szCs w:val="18"/>
                    <w:lang w:val="mk-MK"/>
                  </w:rPr>
                  <w:t>година</w:t>
                </w:r>
                <w:r w:rsidRPr="00251D3E">
                  <w:rPr>
                    <w:rFonts w:cs="Arial"/>
                    <w:sz w:val="18"/>
                    <w:szCs w:val="18"/>
                    <w:lang w:val="sq-AL"/>
                  </w:rPr>
                  <w:t>/viti</w:t>
                </w:r>
                <w:r>
                  <w:rPr>
                    <w:rFonts w:cs="Arial"/>
                    <w:sz w:val="18"/>
                    <w:szCs w:val="18"/>
                    <w:lang w:val="sq-AL"/>
                  </w:rPr>
                  <w:t>/year</w:t>
                </w:r>
              </w:p>
            </w:tc>
          </w:tr>
        </w:tbl>
        <w:p w14:paraId="706CD1E9" w14:textId="77777777" w:rsidR="00F426D1" w:rsidRPr="003B34DE" w:rsidRDefault="00F426D1" w:rsidP="003B34DE">
          <w:pPr>
            <w:pStyle w:val="a"/>
            <w:rPr>
              <w:sz w:val="18"/>
              <w:szCs w:val="18"/>
              <w:lang w:val="sq-AL"/>
            </w:rPr>
          </w:pPr>
        </w:p>
      </w:tc>
    </w:tr>
  </w:tbl>
  <w:p w14:paraId="235EEDF6" w14:textId="77777777" w:rsidR="00F426D1" w:rsidRPr="00517206" w:rsidRDefault="00F426D1" w:rsidP="00517206">
    <w:pPr>
      <w:rPr>
        <w:rFonts w:ascii="Times New Roman" w:hAnsi="Times New Roman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BDBB011" w14:textId="2244A837" w:rsidR="00F426D1" w:rsidRDefault="00F426D1">
    <w:pPr>
      <w:ind w:firstLine="0"/>
      <w:rPr>
        <w:sz w:val="20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82818BA"/>
    <w:multiLevelType w:val="hybridMultilevel"/>
    <w:tmpl w:val="245071EC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368"/>
    <w:multiLevelType w:val="hybridMultilevel"/>
    <w:tmpl w:val="EA04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3DB0"/>
    <w:multiLevelType w:val="hybridMultilevel"/>
    <w:tmpl w:val="634A7C9C"/>
    <w:lvl w:ilvl="0" w:tplc="E016266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C2F37"/>
    <w:multiLevelType w:val="hybridMultilevel"/>
    <w:tmpl w:val="A0323F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6E0D"/>
    <w:multiLevelType w:val="hybridMultilevel"/>
    <w:tmpl w:val="5F4A13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1001"/>
    <w:multiLevelType w:val="hybridMultilevel"/>
    <w:tmpl w:val="C65C634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A28"/>
    <w:multiLevelType w:val="hybridMultilevel"/>
    <w:tmpl w:val="C03C4968"/>
    <w:lvl w:ilvl="0" w:tplc="7E7E3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FA5BA2"/>
    <w:multiLevelType w:val="hybridMultilevel"/>
    <w:tmpl w:val="C3CCFFB0"/>
    <w:lvl w:ilvl="0" w:tplc="76343F0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E121BB7"/>
    <w:multiLevelType w:val="hybridMultilevel"/>
    <w:tmpl w:val="08306D6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B4B08"/>
    <w:multiLevelType w:val="hybridMultilevel"/>
    <w:tmpl w:val="0144EF1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06F71"/>
    <w:multiLevelType w:val="hybridMultilevel"/>
    <w:tmpl w:val="EED28514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728B8"/>
    <w:multiLevelType w:val="hybridMultilevel"/>
    <w:tmpl w:val="B08EEE8C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1398">
    <w:abstractNumId w:val="2"/>
  </w:num>
  <w:num w:numId="2" w16cid:durableId="468329676">
    <w:abstractNumId w:val="3"/>
  </w:num>
  <w:num w:numId="3" w16cid:durableId="734861647">
    <w:abstractNumId w:val="10"/>
  </w:num>
  <w:num w:numId="4" w16cid:durableId="343284341">
    <w:abstractNumId w:val="7"/>
  </w:num>
  <w:num w:numId="5" w16cid:durableId="743263117">
    <w:abstractNumId w:val="8"/>
  </w:num>
  <w:num w:numId="6" w16cid:durableId="1426263449">
    <w:abstractNumId w:val="5"/>
  </w:num>
  <w:num w:numId="7" w16cid:durableId="820925818">
    <w:abstractNumId w:val="0"/>
  </w:num>
  <w:num w:numId="8" w16cid:durableId="1694577345">
    <w:abstractNumId w:val="11"/>
  </w:num>
  <w:num w:numId="9" w16cid:durableId="1329595564">
    <w:abstractNumId w:val="6"/>
  </w:num>
  <w:num w:numId="10" w16cid:durableId="712000658">
    <w:abstractNumId w:val="4"/>
  </w:num>
  <w:num w:numId="11" w16cid:durableId="50858246">
    <w:abstractNumId w:val="1"/>
  </w:num>
  <w:num w:numId="12" w16cid:durableId="192771933">
    <w:abstractNumId w:val="12"/>
  </w:num>
  <w:num w:numId="13" w16cid:durableId="959334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C"/>
    <w:rsid w:val="0000146F"/>
    <w:rsid w:val="00003077"/>
    <w:rsid w:val="00006134"/>
    <w:rsid w:val="00010971"/>
    <w:rsid w:val="00014ED0"/>
    <w:rsid w:val="00017324"/>
    <w:rsid w:val="0002043F"/>
    <w:rsid w:val="00021370"/>
    <w:rsid w:val="00026539"/>
    <w:rsid w:val="00033DB1"/>
    <w:rsid w:val="0003628C"/>
    <w:rsid w:val="00036857"/>
    <w:rsid w:val="0004190E"/>
    <w:rsid w:val="00042286"/>
    <w:rsid w:val="0004431B"/>
    <w:rsid w:val="00044DF9"/>
    <w:rsid w:val="00045C7E"/>
    <w:rsid w:val="00053B69"/>
    <w:rsid w:val="00057D8A"/>
    <w:rsid w:val="000632AC"/>
    <w:rsid w:val="00064E4A"/>
    <w:rsid w:val="00074060"/>
    <w:rsid w:val="00081B88"/>
    <w:rsid w:val="00084216"/>
    <w:rsid w:val="000853EB"/>
    <w:rsid w:val="0009433A"/>
    <w:rsid w:val="00097130"/>
    <w:rsid w:val="000B40D1"/>
    <w:rsid w:val="000B44C4"/>
    <w:rsid w:val="000B4C8F"/>
    <w:rsid w:val="000C24A1"/>
    <w:rsid w:val="000C4028"/>
    <w:rsid w:val="000D1639"/>
    <w:rsid w:val="000D2121"/>
    <w:rsid w:val="000D4724"/>
    <w:rsid w:val="000E047C"/>
    <w:rsid w:val="000E57F7"/>
    <w:rsid w:val="000F058C"/>
    <w:rsid w:val="000F26C8"/>
    <w:rsid w:val="000F7C02"/>
    <w:rsid w:val="00100C34"/>
    <w:rsid w:val="00117E7E"/>
    <w:rsid w:val="001200D5"/>
    <w:rsid w:val="001265B0"/>
    <w:rsid w:val="00132E6A"/>
    <w:rsid w:val="00133F02"/>
    <w:rsid w:val="001349D6"/>
    <w:rsid w:val="00134C54"/>
    <w:rsid w:val="00137A1C"/>
    <w:rsid w:val="00140F2D"/>
    <w:rsid w:val="001421E7"/>
    <w:rsid w:val="001433D5"/>
    <w:rsid w:val="00152ABA"/>
    <w:rsid w:val="0016434C"/>
    <w:rsid w:val="001646F8"/>
    <w:rsid w:val="001815B8"/>
    <w:rsid w:val="00182692"/>
    <w:rsid w:val="001866AE"/>
    <w:rsid w:val="001A33AA"/>
    <w:rsid w:val="001C31A0"/>
    <w:rsid w:val="001D0DC1"/>
    <w:rsid w:val="001D21A1"/>
    <w:rsid w:val="001D5329"/>
    <w:rsid w:val="001D7292"/>
    <w:rsid w:val="001E23FF"/>
    <w:rsid w:val="001E2D8E"/>
    <w:rsid w:val="001E4A7D"/>
    <w:rsid w:val="001E4DEF"/>
    <w:rsid w:val="001F4E20"/>
    <w:rsid w:val="001F723F"/>
    <w:rsid w:val="00202EE7"/>
    <w:rsid w:val="002047E9"/>
    <w:rsid w:val="00213488"/>
    <w:rsid w:val="00215646"/>
    <w:rsid w:val="00221AD1"/>
    <w:rsid w:val="00231A0D"/>
    <w:rsid w:val="002322ED"/>
    <w:rsid w:val="002363CF"/>
    <w:rsid w:val="00246A6F"/>
    <w:rsid w:val="002510D5"/>
    <w:rsid w:val="00251D3E"/>
    <w:rsid w:val="00256505"/>
    <w:rsid w:val="0026376E"/>
    <w:rsid w:val="00264E9B"/>
    <w:rsid w:val="00274E91"/>
    <w:rsid w:val="002758B4"/>
    <w:rsid w:val="00282459"/>
    <w:rsid w:val="00283C7C"/>
    <w:rsid w:val="00294496"/>
    <w:rsid w:val="0029761C"/>
    <w:rsid w:val="002A016E"/>
    <w:rsid w:val="002A3DD4"/>
    <w:rsid w:val="002A44B5"/>
    <w:rsid w:val="002B466C"/>
    <w:rsid w:val="002C1F4E"/>
    <w:rsid w:val="002C497D"/>
    <w:rsid w:val="002C5C1D"/>
    <w:rsid w:val="002E1199"/>
    <w:rsid w:val="002E546D"/>
    <w:rsid w:val="002F5E52"/>
    <w:rsid w:val="00301812"/>
    <w:rsid w:val="00302593"/>
    <w:rsid w:val="00304B71"/>
    <w:rsid w:val="00304E88"/>
    <w:rsid w:val="00313552"/>
    <w:rsid w:val="00322F32"/>
    <w:rsid w:val="00325F2D"/>
    <w:rsid w:val="003279E4"/>
    <w:rsid w:val="00330D99"/>
    <w:rsid w:val="00330E53"/>
    <w:rsid w:val="003321DA"/>
    <w:rsid w:val="003329C5"/>
    <w:rsid w:val="00333B3B"/>
    <w:rsid w:val="003359C7"/>
    <w:rsid w:val="0034330F"/>
    <w:rsid w:val="003539E3"/>
    <w:rsid w:val="00361023"/>
    <w:rsid w:val="00367D59"/>
    <w:rsid w:val="00373C28"/>
    <w:rsid w:val="003829B1"/>
    <w:rsid w:val="00386788"/>
    <w:rsid w:val="00387A82"/>
    <w:rsid w:val="003905BE"/>
    <w:rsid w:val="0039068A"/>
    <w:rsid w:val="00393B08"/>
    <w:rsid w:val="0039489A"/>
    <w:rsid w:val="003A349F"/>
    <w:rsid w:val="003A3C6A"/>
    <w:rsid w:val="003A600B"/>
    <w:rsid w:val="003B06F5"/>
    <w:rsid w:val="003B34DE"/>
    <w:rsid w:val="003B4E62"/>
    <w:rsid w:val="003B703F"/>
    <w:rsid w:val="003C521E"/>
    <w:rsid w:val="003C58BA"/>
    <w:rsid w:val="003C794C"/>
    <w:rsid w:val="003E7EA7"/>
    <w:rsid w:val="003F0AA5"/>
    <w:rsid w:val="003F3333"/>
    <w:rsid w:val="003F5894"/>
    <w:rsid w:val="003F623A"/>
    <w:rsid w:val="003F6DAB"/>
    <w:rsid w:val="0041158F"/>
    <w:rsid w:val="004119EE"/>
    <w:rsid w:val="00412AB4"/>
    <w:rsid w:val="00412BDD"/>
    <w:rsid w:val="00422390"/>
    <w:rsid w:val="004227F5"/>
    <w:rsid w:val="00422817"/>
    <w:rsid w:val="00422AE6"/>
    <w:rsid w:val="004241DC"/>
    <w:rsid w:val="00424957"/>
    <w:rsid w:val="00426A8E"/>
    <w:rsid w:val="00432B1B"/>
    <w:rsid w:val="00434731"/>
    <w:rsid w:val="00444015"/>
    <w:rsid w:val="00451EA3"/>
    <w:rsid w:val="004537AF"/>
    <w:rsid w:val="00453810"/>
    <w:rsid w:val="00464AF0"/>
    <w:rsid w:val="0047085F"/>
    <w:rsid w:val="00472B0A"/>
    <w:rsid w:val="00472D9B"/>
    <w:rsid w:val="00484036"/>
    <w:rsid w:val="00485974"/>
    <w:rsid w:val="00485A96"/>
    <w:rsid w:val="00487E2A"/>
    <w:rsid w:val="00492D39"/>
    <w:rsid w:val="00497E77"/>
    <w:rsid w:val="004B27E1"/>
    <w:rsid w:val="004B4866"/>
    <w:rsid w:val="004B4E4E"/>
    <w:rsid w:val="004B682A"/>
    <w:rsid w:val="004B7D3A"/>
    <w:rsid w:val="004C12F7"/>
    <w:rsid w:val="004D4C2F"/>
    <w:rsid w:val="004D534E"/>
    <w:rsid w:val="004D5E78"/>
    <w:rsid w:val="004E31C6"/>
    <w:rsid w:val="004E64CE"/>
    <w:rsid w:val="004F2C46"/>
    <w:rsid w:val="004F7EAE"/>
    <w:rsid w:val="00501098"/>
    <w:rsid w:val="005064D2"/>
    <w:rsid w:val="0051065E"/>
    <w:rsid w:val="00515117"/>
    <w:rsid w:val="00517206"/>
    <w:rsid w:val="005328C3"/>
    <w:rsid w:val="00533A62"/>
    <w:rsid w:val="005356D6"/>
    <w:rsid w:val="00552290"/>
    <w:rsid w:val="005552A2"/>
    <w:rsid w:val="00563ED6"/>
    <w:rsid w:val="005653B8"/>
    <w:rsid w:val="00592A58"/>
    <w:rsid w:val="00592A60"/>
    <w:rsid w:val="005A21CB"/>
    <w:rsid w:val="005B555E"/>
    <w:rsid w:val="005C0582"/>
    <w:rsid w:val="005C36CE"/>
    <w:rsid w:val="005C41DA"/>
    <w:rsid w:val="005C47A9"/>
    <w:rsid w:val="005C54C0"/>
    <w:rsid w:val="005D4763"/>
    <w:rsid w:val="005D6B27"/>
    <w:rsid w:val="005E63C4"/>
    <w:rsid w:val="005F1E15"/>
    <w:rsid w:val="005F69B0"/>
    <w:rsid w:val="00601AF9"/>
    <w:rsid w:val="006037F7"/>
    <w:rsid w:val="00611FCE"/>
    <w:rsid w:val="00624769"/>
    <w:rsid w:val="00631C2A"/>
    <w:rsid w:val="0064009E"/>
    <w:rsid w:val="00640506"/>
    <w:rsid w:val="006513C1"/>
    <w:rsid w:val="006525A9"/>
    <w:rsid w:val="006566F5"/>
    <w:rsid w:val="0069310D"/>
    <w:rsid w:val="0069787D"/>
    <w:rsid w:val="006A3023"/>
    <w:rsid w:val="006A4604"/>
    <w:rsid w:val="006A7624"/>
    <w:rsid w:val="006B057F"/>
    <w:rsid w:val="006C6179"/>
    <w:rsid w:val="006C7CED"/>
    <w:rsid w:val="006D3796"/>
    <w:rsid w:val="006D3BAF"/>
    <w:rsid w:val="006E0262"/>
    <w:rsid w:val="006E5734"/>
    <w:rsid w:val="006F0712"/>
    <w:rsid w:val="006F6A4B"/>
    <w:rsid w:val="00703B51"/>
    <w:rsid w:val="0070684C"/>
    <w:rsid w:val="00706CD7"/>
    <w:rsid w:val="00717D12"/>
    <w:rsid w:val="007346F8"/>
    <w:rsid w:val="00736F8F"/>
    <w:rsid w:val="00741866"/>
    <w:rsid w:val="00746037"/>
    <w:rsid w:val="0075229B"/>
    <w:rsid w:val="00761068"/>
    <w:rsid w:val="00763438"/>
    <w:rsid w:val="00771886"/>
    <w:rsid w:val="00772CE5"/>
    <w:rsid w:val="0077550F"/>
    <w:rsid w:val="00784067"/>
    <w:rsid w:val="007915A5"/>
    <w:rsid w:val="00792FDB"/>
    <w:rsid w:val="007A085D"/>
    <w:rsid w:val="007B3636"/>
    <w:rsid w:val="007B6393"/>
    <w:rsid w:val="007B7A9D"/>
    <w:rsid w:val="007D311A"/>
    <w:rsid w:val="00802E54"/>
    <w:rsid w:val="00803CF3"/>
    <w:rsid w:val="00803E0F"/>
    <w:rsid w:val="00816E32"/>
    <w:rsid w:val="00825D3C"/>
    <w:rsid w:val="00826A52"/>
    <w:rsid w:val="00831C15"/>
    <w:rsid w:val="00853D0C"/>
    <w:rsid w:val="00854396"/>
    <w:rsid w:val="00860364"/>
    <w:rsid w:val="00861566"/>
    <w:rsid w:val="00895101"/>
    <w:rsid w:val="00897C29"/>
    <w:rsid w:val="008A628D"/>
    <w:rsid w:val="008A6BD8"/>
    <w:rsid w:val="008A6C3A"/>
    <w:rsid w:val="008B4CCD"/>
    <w:rsid w:val="008B7CD7"/>
    <w:rsid w:val="008C2EF7"/>
    <w:rsid w:val="008C34B2"/>
    <w:rsid w:val="008D068A"/>
    <w:rsid w:val="008D125A"/>
    <w:rsid w:val="008D1429"/>
    <w:rsid w:val="008D3D3E"/>
    <w:rsid w:val="008E39E3"/>
    <w:rsid w:val="008E6A7A"/>
    <w:rsid w:val="008E6B42"/>
    <w:rsid w:val="008F1D96"/>
    <w:rsid w:val="008F2BE6"/>
    <w:rsid w:val="008F5D7A"/>
    <w:rsid w:val="00900C24"/>
    <w:rsid w:val="00902C7F"/>
    <w:rsid w:val="0090487F"/>
    <w:rsid w:val="00905276"/>
    <w:rsid w:val="009067DC"/>
    <w:rsid w:val="009147D7"/>
    <w:rsid w:val="00915CBE"/>
    <w:rsid w:val="00917283"/>
    <w:rsid w:val="00917B60"/>
    <w:rsid w:val="0092435F"/>
    <w:rsid w:val="00926361"/>
    <w:rsid w:val="0092694E"/>
    <w:rsid w:val="00926E1D"/>
    <w:rsid w:val="00927964"/>
    <w:rsid w:val="009311BE"/>
    <w:rsid w:val="0093618A"/>
    <w:rsid w:val="0094127D"/>
    <w:rsid w:val="009441FF"/>
    <w:rsid w:val="00945DDB"/>
    <w:rsid w:val="009617FD"/>
    <w:rsid w:val="009800DC"/>
    <w:rsid w:val="00982C3C"/>
    <w:rsid w:val="00986DF2"/>
    <w:rsid w:val="009910D2"/>
    <w:rsid w:val="009960F0"/>
    <w:rsid w:val="00996CA2"/>
    <w:rsid w:val="009A0A19"/>
    <w:rsid w:val="009A6570"/>
    <w:rsid w:val="009C1835"/>
    <w:rsid w:val="009C3BDD"/>
    <w:rsid w:val="009C5A4F"/>
    <w:rsid w:val="009C5AA0"/>
    <w:rsid w:val="009C6AF5"/>
    <w:rsid w:val="009E25F1"/>
    <w:rsid w:val="009E5138"/>
    <w:rsid w:val="009F1D79"/>
    <w:rsid w:val="009F537E"/>
    <w:rsid w:val="00A04F70"/>
    <w:rsid w:val="00A07F9B"/>
    <w:rsid w:val="00A35367"/>
    <w:rsid w:val="00A41F57"/>
    <w:rsid w:val="00A46217"/>
    <w:rsid w:val="00A53261"/>
    <w:rsid w:val="00A5342B"/>
    <w:rsid w:val="00A55624"/>
    <w:rsid w:val="00A621DE"/>
    <w:rsid w:val="00A6388E"/>
    <w:rsid w:val="00A67FE4"/>
    <w:rsid w:val="00A7637F"/>
    <w:rsid w:val="00A87F5C"/>
    <w:rsid w:val="00A9222C"/>
    <w:rsid w:val="00AA7387"/>
    <w:rsid w:val="00AB21F3"/>
    <w:rsid w:val="00AC6CAD"/>
    <w:rsid w:val="00AE04AD"/>
    <w:rsid w:val="00AE54C6"/>
    <w:rsid w:val="00AF1866"/>
    <w:rsid w:val="00B035ED"/>
    <w:rsid w:val="00B047D3"/>
    <w:rsid w:val="00B11AD1"/>
    <w:rsid w:val="00B158E1"/>
    <w:rsid w:val="00B22DBF"/>
    <w:rsid w:val="00B25226"/>
    <w:rsid w:val="00B26402"/>
    <w:rsid w:val="00B30FD9"/>
    <w:rsid w:val="00B311B5"/>
    <w:rsid w:val="00B326F7"/>
    <w:rsid w:val="00B331FF"/>
    <w:rsid w:val="00B35148"/>
    <w:rsid w:val="00B402A8"/>
    <w:rsid w:val="00B4298C"/>
    <w:rsid w:val="00B470C7"/>
    <w:rsid w:val="00B4718D"/>
    <w:rsid w:val="00B51217"/>
    <w:rsid w:val="00B52A29"/>
    <w:rsid w:val="00B6059F"/>
    <w:rsid w:val="00B62EBD"/>
    <w:rsid w:val="00B70768"/>
    <w:rsid w:val="00B75028"/>
    <w:rsid w:val="00B81443"/>
    <w:rsid w:val="00B902E8"/>
    <w:rsid w:val="00B973E5"/>
    <w:rsid w:val="00BA0156"/>
    <w:rsid w:val="00BA0DEA"/>
    <w:rsid w:val="00BA1D9C"/>
    <w:rsid w:val="00BA5846"/>
    <w:rsid w:val="00BC3DBF"/>
    <w:rsid w:val="00BC73BF"/>
    <w:rsid w:val="00BD0B13"/>
    <w:rsid w:val="00BD4622"/>
    <w:rsid w:val="00BD6D82"/>
    <w:rsid w:val="00BE0850"/>
    <w:rsid w:val="00BE0D57"/>
    <w:rsid w:val="00BE1DDA"/>
    <w:rsid w:val="00BF67A7"/>
    <w:rsid w:val="00C17747"/>
    <w:rsid w:val="00C200EA"/>
    <w:rsid w:val="00C24DFC"/>
    <w:rsid w:val="00C25061"/>
    <w:rsid w:val="00C26A89"/>
    <w:rsid w:val="00C32077"/>
    <w:rsid w:val="00C421EA"/>
    <w:rsid w:val="00C47EB4"/>
    <w:rsid w:val="00C62104"/>
    <w:rsid w:val="00C63A58"/>
    <w:rsid w:val="00C657CF"/>
    <w:rsid w:val="00C72404"/>
    <w:rsid w:val="00C82024"/>
    <w:rsid w:val="00C84922"/>
    <w:rsid w:val="00C86B9B"/>
    <w:rsid w:val="00C95051"/>
    <w:rsid w:val="00CA0919"/>
    <w:rsid w:val="00CA3203"/>
    <w:rsid w:val="00CB3F16"/>
    <w:rsid w:val="00CB508A"/>
    <w:rsid w:val="00CB54C2"/>
    <w:rsid w:val="00CC1482"/>
    <w:rsid w:val="00CC4FC9"/>
    <w:rsid w:val="00CC7EDC"/>
    <w:rsid w:val="00CD1BB9"/>
    <w:rsid w:val="00CD2252"/>
    <w:rsid w:val="00CE145C"/>
    <w:rsid w:val="00CE292C"/>
    <w:rsid w:val="00CE2CD4"/>
    <w:rsid w:val="00CF0748"/>
    <w:rsid w:val="00CF49EE"/>
    <w:rsid w:val="00CF6A96"/>
    <w:rsid w:val="00D115F7"/>
    <w:rsid w:val="00D12F20"/>
    <w:rsid w:val="00D174F5"/>
    <w:rsid w:val="00D2149D"/>
    <w:rsid w:val="00D236F5"/>
    <w:rsid w:val="00D31268"/>
    <w:rsid w:val="00D34018"/>
    <w:rsid w:val="00D40F66"/>
    <w:rsid w:val="00D43092"/>
    <w:rsid w:val="00D632E9"/>
    <w:rsid w:val="00D65F9B"/>
    <w:rsid w:val="00D72EAA"/>
    <w:rsid w:val="00D73D64"/>
    <w:rsid w:val="00D74F67"/>
    <w:rsid w:val="00D80EFA"/>
    <w:rsid w:val="00D81E1A"/>
    <w:rsid w:val="00D85908"/>
    <w:rsid w:val="00D87DC2"/>
    <w:rsid w:val="00D97797"/>
    <w:rsid w:val="00DA3007"/>
    <w:rsid w:val="00DA3BA8"/>
    <w:rsid w:val="00DA6455"/>
    <w:rsid w:val="00DB01E7"/>
    <w:rsid w:val="00DB1D14"/>
    <w:rsid w:val="00DB2334"/>
    <w:rsid w:val="00DB4CCB"/>
    <w:rsid w:val="00DB777B"/>
    <w:rsid w:val="00DC09BA"/>
    <w:rsid w:val="00DC10D3"/>
    <w:rsid w:val="00DD1520"/>
    <w:rsid w:val="00DD3424"/>
    <w:rsid w:val="00DD4792"/>
    <w:rsid w:val="00DD5744"/>
    <w:rsid w:val="00DE47C4"/>
    <w:rsid w:val="00E00D1C"/>
    <w:rsid w:val="00E016D0"/>
    <w:rsid w:val="00E06AE5"/>
    <w:rsid w:val="00E15CB6"/>
    <w:rsid w:val="00E1789C"/>
    <w:rsid w:val="00E217A2"/>
    <w:rsid w:val="00E24C6B"/>
    <w:rsid w:val="00E25830"/>
    <w:rsid w:val="00E26366"/>
    <w:rsid w:val="00E41D64"/>
    <w:rsid w:val="00E41D87"/>
    <w:rsid w:val="00E42756"/>
    <w:rsid w:val="00E43C09"/>
    <w:rsid w:val="00E441FD"/>
    <w:rsid w:val="00E516B7"/>
    <w:rsid w:val="00E52643"/>
    <w:rsid w:val="00E54B33"/>
    <w:rsid w:val="00E627F5"/>
    <w:rsid w:val="00E675EE"/>
    <w:rsid w:val="00E6794B"/>
    <w:rsid w:val="00E72642"/>
    <w:rsid w:val="00E77809"/>
    <w:rsid w:val="00E81B33"/>
    <w:rsid w:val="00E81F12"/>
    <w:rsid w:val="00E85179"/>
    <w:rsid w:val="00E92B8B"/>
    <w:rsid w:val="00EA14A0"/>
    <w:rsid w:val="00EA78BC"/>
    <w:rsid w:val="00EC0411"/>
    <w:rsid w:val="00EC1ACD"/>
    <w:rsid w:val="00EC7A60"/>
    <w:rsid w:val="00ED4186"/>
    <w:rsid w:val="00EE34D2"/>
    <w:rsid w:val="00EE3B6C"/>
    <w:rsid w:val="00EE49D2"/>
    <w:rsid w:val="00EE66DA"/>
    <w:rsid w:val="00EF22AA"/>
    <w:rsid w:val="00EF2D7B"/>
    <w:rsid w:val="00EF3243"/>
    <w:rsid w:val="00EF6270"/>
    <w:rsid w:val="00EF7BDC"/>
    <w:rsid w:val="00F019DB"/>
    <w:rsid w:val="00F17532"/>
    <w:rsid w:val="00F2062F"/>
    <w:rsid w:val="00F32457"/>
    <w:rsid w:val="00F32CA8"/>
    <w:rsid w:val="00F34C0E"/>
    <w:rsid w:val="00F35F22"/>
    <w:rsid w:val="00F36E88"/>
    <w:rsid w:val="00F379DF"/>
    <w:rsid w:val="00F40511"/>
    <w:rsid w:val="00F426D1"/>
    <w:rsid w:val="00F45B07"/>
    <w:rsid w:val="00F4668B"/>
    <w:rsid w:val="00F5182A"/>
    <w:rsid w:val="00F523A2"/>
    <w:rsid w:val="00F57ADE"/>
    <w:rsid w:val="00F635F8"/>
    <w:rsid w:val="00F63F12"/>
    <w:rsid w:val="00F6504E"/>
    <w:rsid w:val="00F65489"/>
    <w:rsid w:val="00F74F2C"/>
    <w:rsid w:val="00F761BE"/>
    <w:rsid w:val="00F84D63"/>
    <w:rsid w:val="00F85E9B"/>
    <w:rsid w:val="00F86005"/>
    <w:rsid w:val="00F90F3B"/>
    <w:rsid w:val="00F9457C"/>
    <w:rsid w:val="00F97FA1"/>
    <w:rsid w:val="00FB14BA"/>
    <w:rsid w:val="00FC04DC"/>
    <w:rsid w:val="00FC627B"/>
    <w:rsid w:val="00FC7ED8"/>
    <w:rsid w:val="00FD4B49"/>
    <w:rsid w:val="00FD599C"/>
    <w:rsid w:val="00FD6346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EC78F"/>
  <w15:chartTrackingRefBased/>
  <w15:docId w15:val="{1E3B75A9-3A64-4A1A-96BB-37517F5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AF"/>
    <w:pPr>
      <w:widowControl w:val="0"/>
      <w:ind w:firstLine="851"/>
      <w:jc w:val="both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E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73E5"/>
    <w:pPr>
      <w:widowControl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napToGrid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"/>
    <w:basedOn w:val="Normal"/>
    <w:rsid w:val="000632AC"/>
    <w:pPr>
      <w:ind w:firstLine="0"/>
      <w:jc w:val="center"/>
    </w:pPr>
    <w:rPr>
      <w:b/>
    </w:rPr>
  </w:style>
  <w:style w:type="paragraph" w:customStyle="1" w:styleId="a0">
    <w:name w:val="ПодНаслов"/>
    <w:basedOn w:val="a"/>
    <w:rsid w:val="000632AC"/>
    <w:rPr>
      <w:b w:val="0"/>
    </w:rPr>
  </w:style>
  <w:style w:type="character" w:styleId="Hyperlink">
    <w:name w:val="Hyperlink"/>
    <w:rsid w:val="00063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4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149D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4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149D"/>
    <w:rPr>
      <w:rFonts w:ascii="Arial" w:eastAsia="Times New Roman" w:hAnsi="Arial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3329C5"/>
    <w:pPr>
      <w:widowControl w:val="0"/>
      <w:snapToGrid w:val="0"/>
      <w:ind w:firstLine="851"/>
      <w:jc w:val="both"/>
    </w:pPr>
    <w:rPr>
      <w:rFonts w:ascii="Arial" w:eastAsia="Times New Roman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A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1EA3"/>
    <w:rPr>
      <w:rFonts w:ascii="Segoe UI" w:eastAsia="Times New Roman" w:hAnsi="Segoe UI" w:cs="Segoe UI"/>
      <w:snapToGrid w:val="0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B973E5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73E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napToGrid/>
      <w:szCs w:val="24"/>
    </w:rPr>
  </w:style>
  <w:style w:type="character" w:customStyle="1" w:styleId="footnote">
    <w:name w:val="footnote"/>
    <w:basedOn w:val="DefaultParagraphFont"/>
    <w:rsid w:val="006A7624"/>
  </w:style>
  <w:style w:type="paragraph" w:styleId="FootnoteText">
    <w:name w:val="footnote text"/>
    <w:basedOn w:val="Normal"/>
    <w:link w:val="FootnoteTextChar"/>
    <w:semiHidden/>
    <w:unhideWhenUsed/>
    <w:rsid w:val="00412AB4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412AB4"/>
    <w:rPr>
      <w:rFonts w:ascii="Arial" w:eastAsia="Times New Roman" w:hAnsi="Arial"/>
      <w:snapToGrid w:val="0"/>
    </w:rPr>
  </w:style>
  <w:style w:type="character" w:styleId="FootnoteReference">
    <w:name w:val="footnote reference"/>
    <w:uiPriority w:val="99"/>
    <w:semiHidden/>
    <w:unhideWhenUsed/>
    <w:rsid w:val="00412AB4"/>
    <w:rPr>
      <w:vertAlign w:val="superscript"/>
    </w:rPr>
  </w:style>
  <w:style w:type="character" w:customStyle="1" w:styleId="Heading1Char">
    <w:name w:val="Heading 1 Char"/>
    <w:link w:val="Heading1"/>
    <w:uiPriority w:val="9"/>
    <w:rsid w:val="00330E53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en-US" w:eastAsia="en-US"/>
    </w:rPr>
  </w:style>
  <w:style w:type="character" w:customStyle="1" w:styleId="FootnoteCharacters">
    <w:name w:val="Footnote Characters"/>
    <w:rsid w:val="00F761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6E88"/>
    <w:pPr>
      <w:ind w:left="720"/>
      <w:contextualSpacing/>
    </w:pPr>
  </w:style>
  <w:style w:type="character" w:customStyle="1" w:styleId="rynqvb">
    <w:name w:val="rynqvb"/>
    <w:basedOn w:val="DefaultParagraphFont"/>
    <w:rsid w:val="0080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mspi@komspi.mk" TargetMode="External"/><Relationship Id="rId1" Type="http://schemas.openxmlformats.org/officeDocument/2006/relationships/hyperlink" Target="http://www.komspi.m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42E7-8068-4A23-9268-35375F8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7528</CharactersWithSpaces>
  <SharedDoc>false</SharedDoc>
  <HLinks>
    <vt:vector size="18" baseType="variant">
      <vt:variant>
        <vt:i4>2687102</vt:i4>
      </vt:variant>
      <vt:variant>
        <vt:i4>0</vt:i4>
      </vt:variant>
      <vt:variant>
        <vt:i4>0</vt:i4>
      </vt:variant>
      <vt:variant>
        <vt:i4>5</vt:i4>
      </vt:variant>
      <vt:variant>
        <vt:lpwstr>https://aspi.mk/wp-content/uploads/2023/03/%D0%97%D0%B0%D0%BA%D0%BE%D0%BD-%D0%B7%D0%B0-%D1%81%D0%BB%D0%BE%D0%B1%D0%BE%D0%B4%D0%B5%D0%BD-%D0%BF%D1%80%D0%B8%D1%81%D1%82%D0%B0%D0%BF-%D0%B4%D0%BE-%D0%B8%D0%BD%D1%84%D0%BE%D1%80%D0%BC%D0%B0%D1%86%D0%B8%D0%B8%D1%82%D0%B5-%D0%BE%D0%B4-%D1%98%D0%B0%D0%B2%D0%B5%D0%BD-%D0%BA%D0%B0%D1%80%D0%B0%D0%BA%D1%82%D0%B5%D1%80.pdf</vt:lpwstr>
      </vt:variant>
      <vt:variant>
        <vt:lpwstr/>
      </vt:variant>
      <vt:variant>
        <vt:i4>4980839</vt:i4>
      </vt:variant>
      <vt:variant>
        <vt:i4>6</vt:i4>
      </vt:variant>
      <vt:variant>
        <vt:i4>0</vt:i4>
      </vt:variant>
      <vt:variant>
        <vt:i4>5</vt:i4>
      </vt:variant>
      <vt:variant>
        <vt:lpwstr>mailto:komspi@komspi.mk</vt:lpwstr>
      </vt:variant>
      <vt:variant>
        <vt:lpwstr/>
      </vt:variant>
      <vt:variant>
        <vt:i4>1572936</vt:i4>
      </vt:variant>
      <vt:variant>
        <vt:i4>3</vt:i4>
      </vt:variant>
      <vt:variant>
        <vt:i4>0</vt:i4>
      </vt:variant>
      <vt:variant>
        <vt:i4>5</vt:i4>
      </vt:variant>
      <vt:variant>
        <vt:lpwstr>http://www.komspi.mk/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user</cp:lastModifiedBy>
  <cp:revision>7</cp:revision>
  <cp:lastPrinted>2024-06-10T10:46:00Z</cp:lastPrinted>
  <dcterms:created xsi:type="dcterms:W3CDTF">2024-12-17T07:19:00Z</dcterms:created>
  <dcterms:modified xsi:type="dcterms:W3CDTF">2024-12-17T08:37:00Z</dcterms:modified>
</cp:coreProperties>
</file>