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4AED4A" w14:textId="222166DA" w:rsidR="009B6461" w:rsidRPr="00F44A42" w:rsidRDefault="009B6461" w:rsidP="009B6461">
      <w:pPr>
        <w:jc w:val="center"/>
        <w:rPr>
          <w:rFonts w:ascii="Calibri Light" w:hAnsi="Calibri Light" w:cs="Calibri Light"/>
          <w:b/>
          <w:bCs/>
          <w:lang w:val="sq-AL"/>
        </w:rPr>
      </w:pPr>
      <w:r w:rsidRPr="00F44A42">
        <w:rPr>
          <w:rFonts w:ascii="StobiSerif Regular" w:hAnsi="StobiSerif Regular" w:cs="Calibri"/>
          <w:noProof/>
          <w:color w:val="000000"/>
          <w:lang w:val="sq-AL" w:eastAsia="sq-AL"/>
        </w:rPr>
        <w:drawing>
          <wp:inline distT="0" distB="0" distL="0" distR="0" wp14:anchorId="6560D284" wp14:editId="63F59151">
            <wp:extent cx="333375" cy="676275"/>
            <wp:effectExtent l="0" t="0" r="9525" b="9525"/>
            <wp:docPr id="90888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5B15" w14:textId="7E1A5C22" w:rsidR="003B61B1" w:rsidRPr="00F44A42" w:rsidRDefault="003B61B1" w:rsidP="009B6461">
      <w:pPr>
        <w:spacing w:after="27"/>
        <w:ind w:left="144" w:hanging="10"/>
        <w:jc w:val="center"/>
        <w:rPr>
          <w:rFonts w:ascii="Arial Nova" w:eastAsia="Arial" w:hAnsi="Arial Nova" w:cs="Arial"/>
          <w:b/>
          <w:color w:val="000000"/>
          <w:sz w:val="20"/>
          <w:szCs w:val="20"/>
          <w:lang w:val="sq-AL" w:eastAsia="mk-MK"/>
        </w:rPr>
      </w:pPr>
      <w:r w:rsidRPr="00F44A42">
        <w:rPr>
          <w:rFonts w:ascii="Arial Nova" w:eastAsia="Arial" w:hAnsi="Arial Nova" w:cs="Arial"/>
          <w:b/>
          <w:color w:val="000000"/>
          <w:sz w:val="20"/>
          <w:szCs w:val="20"/>
          <w:lang w:val="sq-AL" w:eastAsia="mk-MK"/>
        </w:rPr>
        <w:t>ANALIZA PËR MBROJTJEN E TË DREJTËS PËR QASJE TË LIRË NË INFORMACIONE ME KARAKTER PUBLIK</w:t>
      </w:r>
    </w:p>
    <w:p w14:paraId="1E0498EB" w14:textId="77777777" w:rsidR="0057278A" w:rsidRPr="00F44A42" w:rsidRDefault="0057278A" w:rsidP="009B6461">
      <w:pPr>
        <w:spacing w:after="27"/>
        <w:ind w:left="144" w:hanging="10"/>
        <w:jc w:val="center"/>
        <w:rPr>
          <w:rFonts w:ascii="Arial Nova" w:hAnsi="Arial Nova" w:cs="Calibri"/>
          <w:color w:val="000000"/>
          <w:sz w:val="20"/>
          <w:szCs w:val="20"/>
          <w:lang w:val="sq-AL" w:eastAsia="mk-MK"/>
        </w:rPr>
      </w:pPr>
    </w:p>
    <w:p w14:paraId="4F240BF8" w14:textId="67597294" w:rsidR="00DA0B53" w:rsidRPr="00F44A42" w:rsidRDefault="003B61B1" w:rsidP="003B61B1">
      <w:pPr>
        <w:pStyle w:val="IntenseQuote"/>
        <w:rPr>
          <w:rFonts w:ascii="Arial Nova" w:hAnsi="Arial Nova"/>
          <w:b/>
          <w:color w:val="auto"/>
          <w:sz w:val="44"/>
          <w:szCs w:val="44"/>
          <w:lang w:val="sq-AL"/>
        </w:rPr>
      </w:pPr>
      <w:r w:rsidRPr="00F44A42">
        <w:rPr>
          <w:rFonts w:ascii="Arial Nova" w:hAnsi="Arial Nova"/>
          <w:b/>
          <w:color w:val="auto"/>
          <w:sz w:val="44"/>
          <w:szCs w:val="44"/>
          <w:lang w:val="sq-AL"/>
        </w:rPr>
        <w:t xml:space="preserve">ANALIZA E TRANSPARENCËS REAKTIVE TË POSEDUESVE TË INFORMACIONEVE  PËR PERIUDHËN 2019 – 2023 </w:t>
      </w:r>
    </w:p>
    <w:p w14:paraId="5F2D9CFF" w14:textId="77777777" w:rsidR="00DA0B53" w:rsidRPr="00F44A42" w:rsidRDefault="00DA0B53" w:rsidP="00DA0B53">
      <w:pPr>
        <w:rPr>
          <w:sz w:val="16"/>
          <w:szCs w:val="16"/>
          <w:lang w:val="sq-AL"/>
        </w:rPr>
      </w:pPr>
    </w:p>
    <w:p w14:paraId="7D676D58" w14:textId="3522EFE4" w:rsidR="00DA0B53" w:rsidRPr="00F44A42" w:rsidRDefault="00DA0B53" w:rsidP="00DA0B53">
      <w:pPr>
        <w:rPr>
          <w:lang w:val="sq-AL"/>
        </w:rPr>
      </w:pPr>
      <w:r w:rsidRPr="00F44A42">
        <w:rPr>
          <w:noProof/>
          <w:lang w:val="sq-AL" w:eastAsia="sq-AL"/>
        </w:rPr>
        <w:drawing>
          <wp:inline distT="0" distB="0" distL="0" distR="0" wp14:anchorId="7C6FC2A0" wp14:editId="35560F70">
            <wp:extent cx="6036944" cy="3886200"/>
            <wp:effectExtent l="0" t="0" r="2540" b="0"/>
            <wp:docPr id="179586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25" cy="389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06DD3" w14:textId="3ED09C29" w:rsidR="00DA0B53" w:rsidRPr="00F44A42" w:rsidRDefault="003B61B1" w:rsidP="00DA0B53">
      <w:pPr>
        <w:jc w:val="center"/>
        <w:rPr>
          <w:b/>
          <w:bCs/>
          <w:sz w:val="28"/>
          <w:szCs w:val="28"/>
          <w:lang w:val="sq-AL"/>
        </w:rPr>
      </w:pPr>
      <w:r w:rsidRPr="00F44A42">
        <w:rPr>
          <w:b/>
          <w:bCs/>
          <w:sz w:val="28"/>
          <w:szCs w:val="28"/>
          <w:lang w:val="sq-AL"/>
        </w:rPr>
        <w:t>Shkup</w:t>
      </w:r>
      <w:r w:rsidR="00DA0B53" w:rsidRPr="00F44A42">
        <w:rPr>
          <w:b/>
          <w:bCs/>
          <w:sz w:val="28"/>
          <w:szCs w:val="28"/>
          <w:lang w:val="sq-AL"/>
        </w:rPr>
        <w:t xml:space="preserve">, </w:t>
      </w:r>
      <w:r w:rsidRPr="00F44A42">
        <w:rPr>
          <w:b/>
          <w:bCs/>
          <w:sz w:val="28"/>
          <w:szCs w:val="28"/>
          <w:lang w:val="sq-AL"/>
        </w:rPr>
        <w:t>qershor</w:t>
      </w:r>
      <w:r w:rsidR="00DA0B53" w:rsidRPr="00F44A42">
        <w:rPr>
          <w:b/>
          <w:bCs/>
          <w:sz w:val="28"/>
          <w:szCs w:val="28"/>
          <w:lang w:val="sq-AL"/>
        </w:rPr>
        <w:t xml:space="preserve"> 2024</w:t>
      </w:r>
    </w:p>
    <w:p w14:paraId="3EC7F77A" w14:textId="4C8D899F" w:rsidR="00F725FE" w:rsidRPr="00F44A42" w:rsidRDefault="003B61B1" w:rsidP="00DA0B53">
      <w:pPr>
        <w:pStyle w:val="IntenseQuote"/>
        <w:rPr>
          <w:rFonts w:cstheme="minorHAnsi"/>
          <w:b/>
          <w:bCs/>
          <w:color w:val="000000" w:themeColor="text1"/>
          <w:sz w:val="28"/>
          <w:szCs w:val="28"/>
          <w:lang w:val="sq-AL"/>
        </w:rPr>
      </w:pPr>
      <w:r w:rsidRPr="00F44A42">
        <w:rPr>
          <w:rFonts w:ascii="Arial Nova" w:hAnsi="Arial Nova"/>
          <w:b/>
          <w:color w:val="auto"/>
          <w:sz w:val="28"/>
          <w:szCs w:val="28"/>
          <w:lang w:val="sq-AL"/>
        </w:rPr>
        <w:lastRenderedPageBreak/>
        <w:t>ANALIZA E TRANSPARENCËS REAKTIVE TË POSEDUESVE TË INFORMACIONEVE  PËR PERIUDHËN 2019 – 2023</w:t>
      </w:r>
    </w:p>
    <w:p w14:paraId="47B3979F" w14:textId="77777777" w:rsidR="004C3306" w:rsidRPr="00F44A42" w:rsidRDefault="004C3306" w:rsidP="005B2E24">
      <w:pPr>
        <w:jc w:val="both"/>
        <w:rPr>
          <w:lang w:val="sq-AL"/>
        </w:rPr>
      </w:pPr>
    </w:p>
    <w:p w14:paraId="5DE7D34C" w14:textId="7EAD2EA4" w:rsidR="00125DE7" w:rsidRPr="00F44A42" w:rsidRDefault="00125DE7" w:rsidP="005B2E24">
      <w:pPr>
        <w:jc w:val="both"/>
        <w:rPr>
          <w:lang w:val="sq-AL"/>
        </w:rPr>
      </w:pPr>
      <w:r w:rsidRPr="00F44A42">
        <w:rPr>
          <w:lang w:val="sq-AL"/>
        </w:rPr>
        <w:t>Qasja në informacione me karakter publik është një nga mjetet kryesore për informimin e publikut, pra e drejta e qytetarëve për të ditur se çfarë vendimesh merren nga organet e administratës shtetërore, pushteti vendor, si shpenzohen fondet buxhetore, paratë publike, paratë e qytetarëve dhe në të njëjtën kohë për të marrë llogaridhënie nga poseduesit e informacionit.</w:t>
      </w:r>
    </w:p>
    <w:p w14:paraId="11F07E9C" w14:textId="7FEE1CBF" w:rsidR="00125DE7" w:rsidRPr="00F44A42" w:rsidRDefault="00125DE7" w:rsidP="005B2E24">
      <w:pPr>
        <w:jc w:val="both"/>
        <w:rPr>
          <w:lang w:val="sq-AL"/>
        </w:rPr>
      </w:pPr>
      <w:r w:rsidRPr="00F44A42">
        <w:rPr>
          <w:lang w:val="sq-AL"/>
        </w:rPr>
        <w:t>E drejta e publikut për të ditur është pjesë e korpusit të të drejtave themelore të njeriut në botën moderne. Kjo e drejtë është e paimagjinueshme pa qasjen e lirë në informacion, që është një nga shtyllat kryesore mbi të cilat bazohen demokracitë moderne. Qasja e lirë në informacion, nga njëra anë, e bën punën e institucioneve transparente dhe të përgjegjshme ndaj qytetarëve, dhe nga ana tjetër, siguron informacion në kohë dhe të plotë për qytetarët, i cili është i nevojshëm për pjesëmarrjen e tyre efektive në jetën publike. Si një garantues kryesor i transparencës, e drejta e publikut për të ditur është gjithashtu pengesa më e madhe kundër korrupsionit. Praktikat korruptive dhe abuzimi me burimet publike tregojnë se këto dukuri negative zhvillohen kryesisht në sferën e fshehtësisë, ku informacioni publik është i padisponueshëm dhe kontrolli publik është i pamundur.</w:t>
      </w:r>
    </w:p>
    <w:p w14:paraId="567D974C" w14:textId="270AADB4" w:rsidR="00BA75A7" w:rsidRPr="00F44A42" w:rsidRDefault="00125DE7" w:rsidP="004E6253">
      <w:pPr>
        <w:jc w:val="both"/>
        <w:rPr>
          <w:lang w:val="sq-AL"/>
        </w:rPr>
      </w:pPr>
      <w:r w:rsidRPr="00F44A42">
        <w:rPr>
          <w:lang w:val="sq-AL"/>
        </w:rPr>
        <w:t>Në bazë të nenit 3 paragrafi 1 paragrafi 1 të Ligjit për Qasje të Lirë në Informacione</w:t>
      </w:r>
      <w:r w:rsidR="00E71B6B" w:rsidRPr="00F44A42">
        <w:rPr>
          <w:lang w:val="sq-AL"/>
        </w:rPr>
        <w:t xml:space="preserve"> me karakter publik (Gazeta Zyrtare e RMV</w:t>
      </w:r>
      <w:r w:rsidRPr="00F44A42">
        <w:rPr>
          <w:lang w:val="sq-AL"/>
        </w:rPr>
        <w:t xml:space="preserve"> nr. 101/2019): “posedues të informacionit” janë organet e pushtetit shtetëror dhe organet dhe organizatat e tjera të themeluara me ligj, organet e komunave, qytetit të Shkupit dhe komunave në qytetin e Shkupit, institucionet dhe shërbimet publike, ndërmarrjet publike, personat juridikë dhe fizikë që ushtrojnë kompetenca publike të përcaktuara me ligj dhe veprimtaritë me interes publik dhe</w:t>
      </w:r>
      <w:r w:rsidR="00E71B6B" w:rsidRPr="00F44A42">
        <w:rPr>
          <w:lang w:val="sq-AL"/>
        </w:rPr>
        <w:t xml:space="preserve"> partitë politike në sferën e </w:t>
      </w:r>
      <w:r w:rsidRPr="00F44A42">
        <w:rPr>
          <w:lang w:val="sq-AL"/>
        </w:rPr>
        <w:t>të ardhura</w:t>
      </w:r>
      <w:r w:rsidR="00E71B6B" w:rsidRPr="00F44A42">
        <w:rPr>
          <w:lang w:val="sq-AL"/>
        </w:rPr>
        <w:t>ve dhe shpenzimeve.</w:t>
      </w:r>
    </w:p>
    <w:p w14:paraId="2D87C8FA" w14:textId="7C17778B" w:rsidR="004E6253" w:rsidRPr="00F44A42" w:rsidRDefault="00E71B6B" w:rsidP="004E6253">
      <w:pPr>
        <w:jc w:val="both"/>
        <w:rPr>
          <w:lang w:val="sq-AL"/>
        </w:rPr>
      </w:pPr>
      <w:r w:rsidRPr="00F44A42">
        <w:rPr>
          <w:lang w:val="sq-AL"/>
        </w:rPr>
        <w:t>Agjencia për Mbrojtjen e së Drejtës për Qasje të Lirë në Informata me Karakter Publik si autoritet i pavarur shtetëror është përgjegjës për zbatimin e së drejtës për qasje në informata me karakter publik. Një nga përgjegjësitë është përgatitja dhe publikimi i Listës së Poseduesve të Informacionit. Nisur nga përcaktimi ligjor, numri i poseduesve në Listën e poseduesve të informacioneve me karakter publik në periudhën 2019-2023 është rritur me 200 posedues të rinj, dhe në këtë mënyrë edhe shtrirja e informacionit të ri në dispozicion të kërkuesve të informacionit.</w:t>
      </w:r>
    </w:p>
    <w:p w14:paraId="0DE9AE60" w14:textId="349E74B9" w:rsidR="007A49D0" w:rsidRPr="00F44A42" w:rsidRDefault="007A49D0" w:rsidP="005B2E24">
      <w:pPr>
        <w:jc w:val="both"/>
        <w:rPr>
          <w:lang w:val="sq-AL"/>
        </w:rPr>
      </w:pPr>
    </w:p>
    <w:p w14:paraId="06C4E18B" w14:textId="77777777" w:rsidR="004373D4" w:rsidRPr="00F44A42" w:rsidRDefault="004373D4" w:rsidP="005B2E24">
      <w:pPr>
        <w:jc w:val="both"/>
        <w:rPr>
          <w:lang w:val="sq-AL"/>
        </w:rPr>
      </w:pPr>
    </w:p>
    <w:p w14:paraId="4A0D3370" w14:textId="4CB6CFE8" w:rsidR="009013DF" w:rsidRPr="00F44A42" w:rsidRDefault="009013DF" w:rsidP="007C232B">
      <w:pPr>
        <w:jc w:val="center"/>
        <w:rPr>
          <w:lang w:val="sq-AL"/>
        </w:rPr>
      </w:pPr>
      <w:r w:rsidRPr="00F44A42">
        <w:rPr>
          <w:noProof/>
          <w:lang w:val="sq-AL" w:eastAsia="sq-AL"/>
        </w:rPr>
        <w:lastRenderedPageBreak/>
        <w:drawing>
          <wp:inline distT="0" distB="0" distL="0" distR="0" wp14:anchorId="4BA94583" wp14:editId="35E73280">
            <wp:extent cx="5229225" cy="2152650"/>
            <wp:effectExtent l="0" t="0" r="9525" b="0"/>
            <wp:docPr id="14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42FBED3" w14:textId="77777777" w:rsidR="00030C2E" w:rsidRPr="00F44A42" w:rsidRDefault="00030C2E" w:rsidP="005B2E24">
      <w:pPr>
        <w:jc w:val="both"/>
        <w:rPr>
          <w:lang w:val="sq-AL"/>
        </w:rPr>
      </w:pPr>
    </w:p>
    <w:p w14:paraId="36A553DD" w14:textId="54FFDCDA" w:rsidR="00E71B6B" w:rsidRPr="00F44A42" w:rsidRDefault="00E71B6B" w:rsidP="00E71B6B">
      <w:pPr>
        <w:jc w:val="both"/>
        <w:rPr>
          <w:lang w:val="sq-AL"/>
        </w:rPr>
      </w:pPr>
      <w:r w:rsidRPr="00F44A42">
        <w:rPr>
          <w:lang w:val="sq-AL"/>
        </w:rPr>
        <w:t xml:space="preserve">Qytetarët dhe publiku i gjerë mund të kenë </w:t>
      </w:r>
      <w:r w:rsidRPr="00F44A42">
        <w:rPr>
          <w:lang w:val="sq-AL"/>
        </w:rPr>
        <w:t>qasje</w:t>
      </w:r>
      <w:r w:rsidRPr="00F44A42">
        <w:rPr>
          <w:lang w:val="sq-AL"/>
        </w:rPr>
        <w:t xml:space="preserve"> në informacion</w:t>
      </w:r>
      <w:r w:rsidRPr="00F44A42">
        <w:rPr>
          <w:lang w:val="sq-AL"/>
        </w:rPr>
        <w:t>e me karakter</w:t>
      </w:r>
      <w:r w:rsidRPr="00F44A42">
        <w:rPr>
          <w:lang w:val="sq-AL"/>
        </w:rPr>
        <w:t xml:space="preserve"> publik në dy mënyra. Mënyra e parë është të veprohet sipas kërkesës së paraqitur për qasje në informacione me karakter publik, e ajo është e ashtuquajtura transparencë reaktive.</w:t>
      </w:r>
    </w:p>
    <w:p w14:paraId="7F8F05B8" w14:textId="4AC827CB" w:rsidR="00E71B6B" w:rsidRPr="00F44A42" w:rsidRDefault="00E71B6B" w:rsidP="00E71B6B">
      <w:pPr>
        <w:jc w:val="both"/>
        <w:rPr>
          <w:lang w:val="sq-AL"/>
        </w:rPr>
      </w:pPr>
      <w:r w:rsidRPr="00F44A42">
        <w:rPr>
          <w:lang w:val="sq-AL"/>
        </w:rPr>
        <w:t xml:space="preserve">Mënyra e dytë është kur </w:t>
      </w:r>
      <w:r w:rsidRPr="00F44A42">
        <w:rPr>
          <w:lang w:val="sq-AL"/>
        </w:rPr>
        <w:t>poseduesit</w:t>
      </w:r>
      <w:r w:rsidRPr="00F44A42">
        <w:rPr>
          <w:lang w:val="sq-AL"/>
        </w:rPr>
        <w:t xml:space="preserve"> e informacionit me iniciativë, rregullisht dhe të përditësuar publikojnë informacionin që krijojnë dhe kanë në dispozicion në faqet e tyre të internetit ose transparencë proaktive.</w:t>
      </w:r>
    </w:p>
    <w:p w14:paraId="4D1C7432" w14:textId="10CF8762" w:rsidR="004E2355" w:rsidRPr="00F44A42" w:rsidRDefault="00E71B6B" w:rsidP="00E71B6B">
      <w:pPr>
        <w:jc w:val="both"/>
        <w:rPr>
          <w:lang w:val="sq-AL"/>
        </w:rPr>
      </w:pPr>
      <w:r w:rsidRPr="00F44A42">
        <w:rPr>
          <w:lang w:val="sq-AL"/>
        </w:rPr>
        <w:t xml:space="preserve">Kjo analizë i referohet veprimit reaktiv të poseduesve pas kërkesave të parashtruara për </w:t>
      </w:r>
      <w:r w:rsidRPr="00F44A42">
        <w:rPr>
          <w:lang w:val="sq-AL"/>
        </w:rPr>
        <w:t>qasje</w:t>
      </w:r>
      <w:r w:rsidRPr="00F44A42">
        <w:rPr>
          <w:lang w:val="sq-AL"/>
        </w:rPr>
        <w:t xml:space="preserve"> në informacione të karakterit publik, dhe të dhënat që janë pjesë e kësaj analize rrjedhin nga Raportet Vjetore të Agjencisë, e cila si detyrim ligjor i përgatit</w:t>
      </w:r>
      <w:r w:rsidRPr="00F44A42">
        <w:rPr>
          <w:lang w:val="sq-AL"/>
        </w:rPr>
        <w:t xml:space="preserve"> dhe i paraqet ato Kuvendit të R</w:t>
      </w:r>
      <w:r w:rsidRPr="00F44A42">
        <w:rPr>
          <w:lang w:val="sq-AL"/>
        </w:rPr>
        <w:t>M</w:t>
      </w:r>
      <w:r w:rsidRPr="00F44A42">
        <w:rPr>
          <w:lang w:val="sq-AL"/>
        </w:rPr>
        <w:t>V</w:t>
      </w:r>
      <w:r w:rsidRPr="00F44A42">
        <w:rPr>
          <w:lang w:val="sq-AL"/>
        </w:rPr>
        <w:t>-së.</w:t>
      </w:r>
    </w:p>
    <w:p w14:paraId="57A2734F" w14:textId="51523A86" w:rsidR="004E2355" w:rsidRPr="00F44A42" w:rsidRDefault="00E71B6B" w:rsidP="005B2E24">
      <w:pPr>
        <w:jc w:val="both"/>
        <w:rPr>
          <w:lang w:val="sq-AL"/>
        </w:rPr>
      </w:pPr>
      <w:r w:rsidRPr="00F44A42">
        <w:rPr>
          <w:lang w:val="sq-AL"/>
        </w:rPr>
        <w:t>Analiza tregon raportin e numrit të poseduesve të informacionit ndër vite, të dhënat për raportet vjetore të dorëzuara nga poseduesit në Agjenci dhe numrin e ankesave të paraqitura në Agjenci, e cila si autoritet dytësor, zhvillon procedimin administrativ dhe vendos për apelon kundër vendimit me të cilin poseduesi i informacionit ka refuzuar ose hedhur poshtë kërkesën për qasje në informata të kërkuesve.</w:t>
      </w:r>
    </w:p>
    <w:p w14:paraId="2A948FCB" w14:textId="77777777" w:rsidR="00FF7361" w:rsidRPr="00F44A42" w:rsidRDefault="00FF7361" w:rsidP="00286A83">
      <w:pPr>
        <w:rPr>
          <w:sz w:val="16"/>
          <w:szCs w:val="16"/>
          <w:lang w:val="sq-AL"/>
        </w:rPr>
      </w:pPr>
    </w:p>
    <w:p w14:paraId="26759AAF" w14:textId="77777777" w:rsidR="00286A83" w:rsidRPr="00F44A42" w:rsidRDefault="004E2355" w:rsidP="00286A83">
      <w:pPr>
        <w:jc w:val="center"/>
        <w:rPr>
          <w:lang w:val="sq-AL"/>
        </w:rPr>
      </w:pPr>
      <w:r w:rsidRPr="00F44A42">
        <w:rPr>
          <w:noProof/>
          <w:lang w:val="sq-AL" w:eastAsia="sq-AL"/>
        </w:rPr>
        <w:drawing>
          <wp:inline distT="0" distB="0" distL="0" distR="0" wp14:anchorId="23A52265" wp14:editId="5CCF26CB">
            <wp:extent cx="5457825" cy="1790700"/>
            <wp:effectExtent l="0" t="0" r="9525" b="0"/>
            <wp:docPr id="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ACEA710" w14:textId="77777777" w:rsidR="00E71B6B" w:rsidRPr="00F44A42" w:rsidRDefault="00E71B6B" w:rsidP="00286A83">
      <w:pPr>
        <w:jc w:val="both"/>
        <w:rPr>
          <w:lang w:val="sq-AL"/>
        </w:rPr>
      </w:pPr>
    </w:p>
    <w:p w14:paraId="239E5BB6" w14:textId="65D486B2" w:rsidR="00EF2E67" w:rsidRPr="00F44A42" w:rsidRDefault="00E71B6B" w:rsidP="00286A83">
      <w:pPr>
        <w:jc w:val="both"/>
        <w:rPr>
          <w:lang w:val="sq-AL"/>
        </w:rPr>
      </w:pPr>
      <w:r w:rsidRPr="00F44A42">
        <w:rPr>
          <w:lang w:val="sq-AL"/>
        </w:rPr>
        <w:lastRenderedPageBreak/>
        <w:t>Grafiku i mëposhtëm tregon tendencën e mospërmbushjes së detyrimit ligjor nga ana e poseduesve, përkatësisht mosdorëzimit të raporteve vjetore në Agjenci brenda afatit të përcaktuar ligjor.</w:t>
      </w:r>
    </w:p>
    <w:p w14:paraId="2D0C4901" w14:textId="77777777" w:rsidR="00286A83" w:rsidRPr="00F44A42" w:rsidRDefault="00286A83" w:rsidP="00286A83">
      <w:pPr>
        <w:jc w:val="both"/>
        <w:rPr>
          <w:lang w:val="sq-AL"/>
        </w:rPr>
      </w:pPr>
    </w:p>
    <w:p w14:paraId="0D312CC9" w14:textId="77777777" w:rsidR="00EF2E67" w:rsidRPr="00F44A42" w:rsidRDefault="00EF2E67" w:rsidP="005B2E24">
      <w:pPr>
        <w:jc w:val="center"/>
        <w:rPr>
          <w:lang w:val="sq-AL"/>
        </w:rPr>
      </w:pPr>
      <w:r w:rsidRPr="00F44A42">
        <w:rPr>
          <w:noProof/>
          <w:lang w:val="sq-AL" w:eastAsia="sq-AL"/>
        </w:rPr>
        <w:drawing>
          <wp:inline distT="0" distB="0" distL="0" distR="0" wp14:anchorId="5A8D751A" wp14:editId="39772703">
            <wp:extent cx="5471160" cy="2171700"/>
            <wp:effectExtent l="0" t="0" r="15240" b="0"/>
            <wp:docPr id="7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28FE26D" w14:textId="77777777" w:rsidR="006D201F" w:rsidRPr="00F44A42" w:rsidRDefault="006D201F" w:rsidP="005B2E24">
      <w:pPr>
        <w:jc w:val="both"/>
        <w:rPr>
          <w:lang w:val="sq-AL"/>
        </w:rPr>
      </w:pPr>
    </w:p>
    <w:p w14:paraId="4047D204" w14:textId="184246F1" w:rsidR="006D201F" w:rsidRPr="00F44A42" w:rsidRDefault="00E71B6B" w:rsidP="005B2E24">
      <w:pPr>
        <w:jc w:val="both"/>
        <w:rPr>
          <w:lang w:val="sq-AL"/>
        </w:rPr>
      </w:pPr>
      <w:r w:rsidRPr="00F44A42">
        <w:rPr>
          <w:lang w:val="sq-AL"/>
        </w:rPr>
        <w:t>Sipas përmbajtjes së ankesave të dorëzuara në Agjenci, mund të konstatohet se në numrin më të madh të rasteve, qytetarët më së shpeshti e përdorin Ligjin për QLIKP kur nuk janë në gjendje të ushtrojnë të drejtat e tyre dhe të marrin informacionin e nevojshëm për ta dhe dokumentet që dalin nga kompetencat e institucioneve - posedues të informacionit. Parashtruesit e kërkesës parashtruan ankesat e tyre në Agjenci për shkak se poseduesit e informacionit nuk kanë vepruar në përputhje me ligjet materiale që i zbatojnë gjatë funksionimit dhe vendimmarrjes në procedurë të caktuar administrative, përkatësisht nuk kanë vepruar sipas kërkesave të qyteta</w:t>
      </w:r>
      <w:r w:rsidR="00A827A1" w:rsidRPr="00F44A42">
        <w:rPr>
          <w:lang w:val="sq-AL"/>
        </w:rPr>
        <w:t>rëve</w:t>
      </w:r>
      <w:r w:rsidRPr="00F44A42">
        <w:rPr>
          <w:lang w:val="sq-AL"/>
        </w:rPr>
        <w:t xml:space="preserve"> si palë në një çështje specifike administrative. Pavarësisht numrit të madh të trajnimeve të mbajtura për </w:t>
      </w:r>
      <w:r w:rsidR="00A827A1" w:rsidRPr="00F44A42">
        <w:rPr>
          <w:lang w:val="sq-AL"/>
        </w:rPr>
        <w:t xml:space="preserve">personat </w:t>
      </w:r>
      <w:r w:rsidRPr="00F44A42">
        <w:rPr>
          <w:lang w:val="sq-AL"/>
        </w:rPr>
        <w:t>zyrtarë për ndërmjetësim</w:t>
      </w:r>
      <w:r w:rsidR="00A827A1" w:rsidRPr="00F44A42">
        <w:rPr>
          <w:lang w:val="sq-AL"/>
        </w:rPr>
        <w:t xml:space="preserve"> me informacione me karakter publik</w:t>
      </w:r>
      <w:r w:rsidRPr="00F44A42">
        <w:rPr>
          <w:lang w:val="sq-AL"/>
        </w:rPr>
        <w:t xml:space="preserve"> për poseduesit e informacionit, përqindja e ankesave të paraqitura për shkak të mosveprimit të poseduesve të informacionit ndaj kërkesave brenda afateve të parashikuara me ligj, d.m.th. heshtja e autoritetit të shkallës së parë, është shqetësuese. Nga përpunimi i dosjeve në fjalë, si dhe nga komunikimet e rregullta elektronike dhe telefonike me zyrtarët dhe menaxherët e poseduesve të informacionit, mund të konstatohet se gatishmëria për hapje ndaj publikut është më e madhe tek zyrtarët, në ndryshe nga qëndrimet e strukturave drejtuese, të cilat shkojnë në drejtim të kundërt. Prandaj, mbetet aktuale nevoja për organizimin e trajnimeve shtesë, punëtorive, tryezave të rrumbullakëta dhe prezantimeve të ngjashme të </w:t>
      </w:r>
      <w:r w:rsidR="00A827A1" w:rsidRPr="00F44A42">
        <w:rPr>
          <w:lang w:val="sq-AL"/>
        </w:rPr>
        <w:t>LQLIKP</w:t>
      </w:r>
      <w:r w:rsidRPr="00F44A42">
        <w:rPr>
          <w:lang w:val="sq-AL"/>
        </w:rPr>
        <w:t xml:space="preserve">-së për </w:t>
      </w:r>
      <w:r w:rsidR="00A827A1" w:rsidRPr="00F44A42">
        <w:rPr>
          <w:lang w:val="sq-AL"/>
        </w:rPr>
        <w:t>funksionarët</w:t>
      </w:r>
      <w:r w:rsidRPr="00F44A42">
        <w:rPr>
          <w:lang w:val="sq-AL"/>
        </w:rPr>
        <w:t xml:space="preserve"> e </w:t>
      </w:r>
      <w:r w:rsidR="00A827A1" w:rsidRPr="00F44A42">
        <w:rPr>
          <w:lang w:val="sq-AL"/>
        </w:rPr>
        <w:t>poseduesve</w:t>
      </w:r>
      <w:r w:rsidRPr="00F44A42">
        <w:rPr>
          <w:lang w:val="sq-AL"/>
        </w:rPr>
        <w:t xml:space="preserve"> të informacionit. Vlen të theksohet se ankesat e paraqitura në Agjenci zakonisht vijnë si rezultat i pakënaqësisë së shprehur të kërkuesve të informacionit për mosveprimin/veprimin e poseduesve të informacionit, pra nga zgjidhjet </w:t>
      </w:r>
      <w:r w:rsidR="00A827A1" w:rsidRPr="00F44A42">
        <w:rPr>
          <w:lang w:val="sq-AL"/>
        </w:rPr>
        <w:t>dhe përgjigjet negative të marrura</w:t>
      </w:r>
      <w:r w:rsidRPr="00F44A42">
        <w:rPr>
          <w:lang w:val="sq-AL"/>
        </w:rPr>
        <w:t xml:space="preserve"> ng</w:t>
      </w:r>
      <w:r w:rsidR="00A827A1" w:rsidRPr="00F44A42">
        <w:rPr>
          <w:lang w:val="sq-AL"/>
        </w:rPr>
        <w:t>a poseduesit e informacionit,</w:t>
      </w:r>
      <w:r w:rsidRPr="00F44A42">
        <w:rPr>
          <w:lang w:val="sq-AL"/>
        </w:rPr>
        <w:t xml:space="preserve"> si dhe për shkak të moszbatimit të vendimeve të Agjencisë nga organi i shkallës së parë në lidhje me kërkesat e paraqitura.</w:t>
      </w:r>
    </w:p>
    <w:p w14:paraId="1BB6E9B2" w14:textId="4D2D3BD1" w:rsidR="006D201F" w:rsidRPr="00F44A42" w:rsidRDefault="00C36F77" w:rsidP="00286A83">
      <w:pPr>
        <w:jc w:val="center"/>
        <w:rPr>
          <w:lang w:val="sq-AL"/>
        </w:rPr>
      </w:pPr>
      <w:r w:rsidRPr="00F44A42">
        <w:rPr>
          <w:noProof/>
          <w:lang w:val="sq-AL" w:eastAsia="sq-AL"/>
        </w:rPr>
        <w:lastRenderedPageBreak/>
        <w:drawing>
          <wp:inline distT="0" distB="0" distL="0" distR="0" wp14:anchorId="78065D90" wp14:editId="3109A98D">
            <wp:extent cx="5229225" cy="1981200"/>
            <wp:effectExtent l="0" t="0" r="9525" b="0"/>
            <wp:docPr id="4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A11E1F6" w14:textId="2E793745" w:rsidR="00286A83" w:rsidRPr="00F44A42" w:rsidRDefault="00A827A1" w:rsidP="00286A83">
      <w:pPr>
        <w:jc w:val="both"/>
        <w:rPr>
          <w:rStyle w:val="BookTitle"/>
          <w:b w:val="0"/>
          <w:bCs w:val="0"/>
          <w:i w:val="0"/>
          <w:iCs w:val="0"/>
          <w:spacing w:val="0"/>
          <w:lang w:val="sq-AL"/>
        </w:rPr>
      </w:pPr>
      <w:r w:rsidRPr="00F44A42">
        <w:rPr>
          <w:lang w:val="sq-AL"/>
        </w:rPr>
        <w:t>Në vazhdim (në grafikët e mëposhtëm nga poseduesit e informacionit publik), vërehet një tendencë e uljes së numrit të ankesave të paraqitura në periudhën e analizuar. Kështu mund të konkludohet se poseduesit e informacionit i kushtojnë më shumë vëmendje shpërndarjes proaktive të informacionit, duke reduktuar kështu kërkesat dhe ankesat nga kërkuesit e informacionit.</w:t>
      </w:r>
    </w:p>
    <w:p w14:paraId="6B567DAF" w14:textId="77777777" w:rsidR="00A827A1" w:rsidRPr="00F44A42" w:rsidRDefault="00A827A1" w:rsidP="00A827A1">
      <w:pPr>
        <w:jc w:val="center"/>
        <w:rPr>
          <w:rStyle w:val="BookTitle"/>
          <w:rFonts w:ascii="Arial Nova" w:hAnsi="Arial Nova"/>
          <w:sz w:val="24"/>
          <w:szCs w:val="24"/>
          <w:u w:val="single"/>
          <w:lang w:val="sq-AL"/>
        </w:rPr>
      </w:pPr>
      <w:r w:rsidRPr="00F44A42">
        <w:rPr>
          <w:rStyle w:val="BookTitle"/>
          <w:rFonts w:ascii="Arial Nova" w:hAnsi="Arial Nova"/>
          <w:sz w:val="24"/>
          <w:szCs w:val="24"/>
          <w:u w:val="single"/>
          <w:lang w:val="sq-AL"/>
        </w:rPr>
        <w:t>Lëvizja e numrit të ankesave të paraqitura përgjatë viteve raportuese</w:t>
      </w:r>
    </w:p>
    <w:p w14:paraId="0909073A" w14:textId="68F2C982" w:rsidR="007A76B7" w:rsidRPr="00F44A42" w:rsidRDefault="00A827A1" w:rsidP="00A827A1">
      <w:pPr>
        <w:jc w:val="center"/>
        <w:rPr>
          <w:rFonts w:ascii="Arial Nova" w:hAnsi="Arial Nova"/>
          <w:b/>
          <w:i/>
          <w:sz w:val="24"/>
          <w:szCs w:val="24"/>
          <w:u w:val="single"/>
          <w:lang w:val="sq-AL"/>
        </w:rPr>
      </w:pPr>
      <w:r w:rsidRPr="00F44A42">
        <w:rPr>
          <w:rStyle w:val="BookTitle"/>
          <w:rFonts w:ascii="Arial Nova" w:hAnsi="Arial Nova"/>
          <w:sz w:val="24"/>
          <w:szCs w:val="24"/>
          <w:u w:val="single"/>
          <w:lang w:val="sq-AL"/>
        </w:rPr>
        <w:t>2019-2023 sipas kategorive të poseduesve</w:t>
      </w:r>
    </w:p>
    <w:p w14:paraId="3A66E56E" w14:textId="77777777" w:rsidR="00622A93" w:rsidRPr="00F44A42" w:rsidRDefault="00DE3FC1" w:rsidP="005B2E24">
      <w:pPr>
        <w:jc w:val="both"/>
        <w:rPr>
          <w:sz w:val="8"/>
          <w:szCs w:val="8"/>
          <w:lang w:val="sq-AL"/>
        </w:rPr>
      </w:pPr>
      <w:r w:rsidRPr="00F44A42">
        <w:rPr>
          <w:lang w:val="sq-AL"/>
        </w:rPr>
        <w:t xml:space="preserve">                                  </w:t>
      </w:r>
    </w:p>
    <w:p w14:paraId="02E925B3" w14:textId="5A4BE6B6" w:rsidR="00286A83" w:rsidRPr="00F44A42" w:rsidRDefault="00DE3FC1" w:rsidP="005B2E24">
      <w:pPr>
        <w:jc w:val="both"/>
        <w:rPr>
          <w:lang w:val="sq-AL"/>
        </w:rPr>
      </w:pPr>
      <w:r w:rsidRPr="00F44A42">
        <w:rPr>
          <w:noProof/>
          <w:lang w:val="sq-AL" w:eastAsia="sq-AL"/>
        </w:rPr>
        <w:drawing>
          <wp:inline distT="0" distB="0" distL="0" distR="0" wp14:anchorId="3ED137DD" wp14:editId="46EB529C">
            <wp:extent cx="3038475" cy="1668780"/>
            <wp:effectExtent l="0" t="0" r="9525" b="7620"/>
            <wp:docPr id="8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4F26C9" w14:textId="5EC41C9B" w:rsidR="000D4E93" w:rsidRPr="00F44A42" w:rsidRDefault="000A362D" w:rsidP="000A362D">
      <w:pPr>
        <w:jc w:val="both"/>
        <w:rPr>
          <w:lang w:val="sq-AL"/>
        </w:rPr>
      </w:pPr>
      <w:r w:rsidRPr="00F44A42">
        <w:rPr>
          <w:lang w:val="sq-AL"/>
        </w:rPr>
        <w:t xml:space="preserve">                                                                                      </w:t>
      </w:r>
      <w:r w:rsidR="004D7E21" w:rsidRPr="00F44A42">
        <w:rPr>
          <w:noProof/>
          <w:lang w:val="sq-AL" w:eastAsia="sq-AL"/>
        </w:rPr>
        <w:drawing>
          <wp:inline distT="0" distB="0" distL="0" distR="0" wp14:anchorId="2017916B" wp14:editId="36EB2817">
            <wp:extent cx="2957195" cy="1965960"/>
            <wp:effectExtent l="0" t="0" r="14605" b="15240"/>
            <wp:docPr id="12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5D0211E" w14:textId="5CCAEB6F" w:rsidR="004D7E21" w:rsidRPr="00F44A42" w:rsidRDefault="004D7E21" w:rsidP="005B2E24">
      <w:pPr>
        <w:jc w:val="both"/>
        <w:rPr>
          <w:lang w:val="sq-AL"/>
        </w:rPr>
      </w:pPr>
      <w:r w:rsidRPr="00F44A42">
        <w:rPr>
          <w:noProof/>
          <w:lang w:val="sq-AL" w:eastAsia="sq-AL"/>
        </w:rPr>
        <w:lastRenderedPageBreak/>
        <w:drawing>
          <wp:inline distT="0" distB="0" distL="0" distR="0" wp14:anchorId="01C0B8D5" wp14:editId="1FE8015E">
            <wp:extent cx="2971800" cy="2080260"/>
            <wp:effectExtent l="0" t="0" r="0" b="15240"/>
            <wp:docPr id="1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FB6E8CC" w14:textId="77777777" w:rsidR="00186F43" w:rsidRPr="00F44A42" w:rsidRDefault="00186F43" w:rsidP="005B2E24">
      <w:pPr>
        <w:jc w:val="both"/>
        <w:rPr>
          <w:lang w:val="sq-AL"/>
        </w:rPr>
      </w:pPr>
    </w:p>
    <w:p w14:paraId="0239480A" w14:textId="00A87F2E" w:rsidR="00972EA9" w:rsidRPr="00F44A42" w:rsidRDefault="004D7E21" w:rsidP="00186F43">
      <w:pPr>
        <w:ind w:left="4320" w:firstLine="720"/>
        <w:jc w:val="both"/>
        <w:rPr>
          <w:lang w:val="sq-AL"/>
        </w:rPr>
      </w:pPr>
      <w:r w:rsidRPr="00F44A42">
        <w:rPr>
          <w:noProof/>
          <w:lang w:val="sq-AL" w:eastAsia="sq-AL"/>
        </w:rPr>
        <w:drawing>
          <wp:inline distT="0" distB="0" distL="0" distR="0" wp14:anchorId="0B52B1FA" wp14:editId="6AA1677E">
            <wp:extent cx="2819400" cy="2164080"/>
            <wp:effectExtent l="0" t="0" r="0" b="7620"/>
            <wp:docPr id="13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FB3B478" w14:textId="2C6696CA" w:rsidR="00972EA9" w:rsidRPr="00F44A42" w:rsidRDefault="004D7E21" w:rsidP="005B2E24">
      <w:pPr>
        <w:jc w:val="both"/>
        <w:rPr>
          <w:lang w:val="sq-AL"/>
        </w:rPr>
      </w:pPr>
      <w:r w:rsidRPr="00F44A42">
        <w:rPr>
          <w:noProof/>
          <w:lang w:val="sq-AL" w:eastAsia="sq-AL"/>
        </w:rPr>
        <w:drawing>
          <wp:inline distT="0" distB="0" distL="0" distR="0" wp14:anchorId="6DA61619" wp14:editId="40C5E2CF">
            <wp:extent cx="3019425" cy="2019300"/>
            <wp:effectExtent l="0" t="0" r="9525" b="0"/>
            <wp:docPr id="2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75BDE95" w14:textId="564FF60B" w:rsidR="00972EA9" w:rsidRPr="00F44A42" w:rsidRDefault="004D7E21" w:rsidP="00186F43">
      <w:pPr>
        <w:ind w:left="4320" w:firstLine="720"/>
        <w:jc w:val="both"/>
        <w:rPr>
          <w:lang w:val="sq-AL"/>
        </w:rPr>
      </w:pPr>
      <w:r w:rsidRPr="00F44A42">
        <w:rPr>
          <w:noProof/>
          <w:lang w:val="sq-AL" w:eastAsia="sq-AL"/>
        </w:rPr>
        <w:lastRenderedPageBreak/>
        <w:drawing>
          <wp:inline distT="0" distB="0" distL="0" distR="0" wp14:anchorId="0B29B6E9" wp14:editId="32B10B05">
            <wp:extent cx="3171825" cy="1775460"/>
            <wp:effectExtent l="0" t="0" r="9525" b="15240"/>
            <wp:docPr id="3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4C1DC5A" w14:textId="1C2F1BF3" w:rsidR="00186F43" w:rsidRPr="00F44A42" w:rsidRDefault="004D7E21" w:rsidP="005B2E24">
      <w:pPr>
        <w:jc w:val="both"/>
        <w:rPr>
          <w:lang w:val="sq-AL"/>
        </w:rPr>
      </w:pPr>
      <w:r w:rsidRPr="00F44A42">
        <w:rPr>
          <w:noProof/>
          <w:lang w:val="sq-AL" w:eastAsia="sq-AL"/>
        </w:rPr>
        <w:drawing>
          <wp:inline distT="0" distB="0" distL="0" distR="0" wp14:anchorId="65012DAA" wp14:editId="18580F93">
            <wp:extent cx="3162300" cy="1859280"/>
            <wp:effectExtent l="0" t="0" r="0" b="7620"/>
            <wp:docPr id="6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A67440E" w14:textId="5E7CA743" w:rsidR="008C628F" w:rsidRPr="00F44A42" w:rsidRDefault="004D7E21" w:rsidP="00186F43">
      <w:pPr>
        <w:ind w:left="4320" w:firstLine="720"/>
        <w:jc w:val="both"/>
        <w:rPr>
          <w:lang w:val="sq-AL"/>
        </w:rPr>
      </w:pPr>
      <w:r w:rsidRPr="00F44A42">
        <w:rPr>
          <w:noProof/>
          <w:lang w:val="sq-AL" w:eastAsia="sq-AL"/>
        </w:rPr>
        <w:drawing>
          <wp:inline distT="0" distB="0" distL="0" distR="0" wp14:anchorId="6CBA1F60" wp14:editId="7D7BB535">
            <wp:extent cx="3143250" cy="2057400"/>
            <wp:effectExtent l="0" t="0" r="0" b="0"/>
            <wp:docPr id="10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A387EED" w14:textId="77777777" w:rsidR="00BB32DC" w:rsidRPr="00F44A42" w:rsidRDefault="00BB32DC" w:rsidP="00D12581">
      <w:pPr>
        <w:pStyle w:val="NoSpacing"/>
        <w:jc w:val="center"/>
        <w:rPr>
          <w:rFonts w:ascii="Arial Nova" w:hAnsi="Arial Nova"/>
          <w:b/>
          <w:i/>
          <w:sz w:val="24"/>
          <w:szCs w:val="24"/>
          <w:u w:val="single"/>
          <w:lang w:val="sq-AL"/>
        </w:rPr>
      </w:pPr>
    </w:p>
    <w:p w14:paraId="3DBB87C1" w14:textId="742767CA" w:rsidR="00D12581" w:rsidRPr="00F44A42" w:rsidRDefault="00A827A1" w:rsidP="00D12581">
      <w:pPr>
        <w:pStyle w:val="NoSpacing"/>
        <w:jc w:val="center"/>
        <w:rPr>
          <w:rFonts w:ascii="Arial Nova" w:hAnsi="Arial Nova"/>
          <w:b/>
          <w:i/>
          <w:sz w:val="24"/>
          <w:szCs w:val="24"/>
          <w:u w:val="single"/>
          <w:lang w:val="sq-AL"/>
        </w:rPr>
      </w:pPr>
      <w:r w:rsidRPr="00F44A42">
        <w:rPr>
          <w:rFonts w:ascii="Arial Nova" w:hAnsi="Arial Nova"/>
          <w:b/>
          <w:i/>
          <w:sz w:val="24"/>
          <w:szCs w:val="24"/>
          <w:u w:val="single"/>
          <w:lang w:val="sq-AL"/>
        </w:rPr>
        <w:t>Karakteri i ankesave të dorëzuara</w:t>
      </w:r>
    </w:p>
    <w:p w14:paraId="321D4E6D" w14:textId="77777777" w:rsidR="00814BD6" w:rsidRPr="00F44A42" w:rsidRDefault="00814BD6" w:rsidP="005B2E24">
      <w:pPr>
        <w:jc w:val="both"/>
        <w:rPr>
          <w:lang w:val="sq-AL"/>
        </w:rPr>
      </w:pPr>
    </w:p>
    <w:p w14:paraId="5EC17165" w14:textId="3B641C84" w:rsidR="008C628F" w:rsidRPr="00F44A42" w:rsidRDefault="00A827A1" w:rsidP="005B2E24">
      <w:pPr>
        <w:jc w:val="both"/>
        <w:rPr>
          <w:lang w:val="sq-AL"/>
        </w:rPr>
      </w:pPr>
      <w:r w:rsidRPr="00F44A42">
        <w:rPr>
          <w:lang w:val="sq-AL"/>
        </w:rPr>
        <w:t>Analiza e ankesave të dorëzuara në Agjenci ndër vite tregon se më së shpeshti dhe në përqindjen më të madhe të ankesave të shprehura nga kërkuesit e informacionit, ato janë paraqitur për shkak se poseduesit e informacionit nuk kanë vepruar sipas kërkesës së pranuar për qasje në informacion. Grafiku i mëposhtëm tregon numrin e përgjithshëm të ankesave të paraqitura dhe numrin e ankesave të paraqitura për shkak të të ashtuquajturit “heshtja e administratës”.</w:t>
      </w:r>
    </w:p>
    <w:p w14:paraId="0E4BF64D" w14:textId="296C21A9" w:rsidR="002C757F" w:rsidRPr="00F44A42" w:rsidRDefault="002568FF" w:rsidP="002C757F">
      <w:pPr>
        <w:jc w:val="center"/>
        <w:rPr>
          <w:lang w:val="sq-AL"/>
        </w:rPr>
      </w:pPr>
      <w:r w:rsidRPr="00F44A42">
        <w:rPr>
          <w:noProof/>
          <w:lang w:val="sq-AL" w:eastAsia="sq-AL"/>
        </w:rPr>
        <w:lastRenderedPageBreak/>
        <w:drawing>
          <wp:inline distT="0" distB="0" distL="0" distR="0" wp14:anchorId="45C17448" wp14:editId="274D0236">
            <wp:extent cx="5667375" cy="2286000"/>
            <wp:effectExtent l="0" t="0" r="9525" b="0"/>
            <wp:docPr id="9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4541E79" w14:textId="77777777" w:rsidR="008C628F" w:rsidRPr="00F44A42" w:rsidRDefault="008C628F" w:rsidP="002C757F">
      <w:pPr>
        <w:jc w:val="center"/>
        <w:rPr>
          <w:lang w:val="sq-AL"/>
        </w:rPr>
      </w:pPr>
    </w:p>
    <w:p w14:paraId="6A718414" w14:textId="148EB842" w:rsidR="008C628F" w:rsidRPr="00F44A42" w:rsidRDefault="00A827A1" w:rsidP="008C628F">
      <w:pPr>
        <w:jc w:val="both"/>
        <w:rPr>
          <w:lang w:val="sq-AL"/>
        </w:rPr>
      </w:pPr>
      <w:r w:rsidRPr="00F44A42">
        <w:rPr>
          <w:lang w:val="sq-AL"/>
        </w:rPr>
        <w:t>2019 është një vit me 90% heshtje të administratës ose vetëm 10% të kërkesave të paraqitura, poseduesit e informacionit janë përgjigjur brenda afatit të parashikuar ligjor.</w:t>
      </w:r>
    </w:p>
    <w:p w14:paraId="6AA9E1EC" w14:textId="77777777" w:rsidR="001E6E34" w:rsidRPr="00F44A42" w:rsidRDefault="001E6E34" w:rsidP="008C628F">
      <w:pPr>
        <w:jc w:val="both"/>
        <w:rPr>
          <w:lang w:val="sq-AL"/>
        </w:rPr>
      </w:pPr>
    </w:p>
    <w:p w14:paraId="7A5073B1" w14:textId="124D036A" w:rsidR="001E6E34" w:rsidRPr="00F44A42" w:rsidRDefault="001E6E34" w:rsidP="007C232B">
      <w:pPr>
        <w:jc w:val="center"/>
        <w:rPr>
          <w:lang w:val="sq-AL"/>
        </w:rPr>
      </w:pPr>
      <w:r w:rsidRPr="00F44A42">
        <w:rPr>
          <w:noProof/>
          <w:lang w:val="sq-AL" w:eastAsia="sq-AL"/>
        </w:rPr>
        <w:drawing>
          <wp:inline distT="0" distB="0" distL="0" distR="0" wp14:anchorId="7A33C6DE" wp14:editId="1BBA52B6">
            <wp:extent cx="5838825" cy="2609215"/>
            <wp:effectExtent l="0" t="0" r="9525" b="635"/>
            <wp:docPr id="840319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88A378" w14:textId="77777777" w:rsidR="001E6E34" w:rsidRPr="00F44A42" w:rsidRDefault="001E6E34" w:rsidP="008C628F">
      <w:pPr>
        <w:jc w:val="both"/>
        <w:rPr>
          <w:lang w:val="sq-AL"/>
        </w:rPr>
      </w:pPr>
    </w:p>
    <w:p w14:paraId="67B59197" w14:textId="65DAA62F" w:rsidR="00286A83" w:rsidRPr="00F44A42" w:rsidRDefault="00F44A42" w:rsidP="009B6461">
      <w:pPr>
        <w:jc w:val="both"/>
        <w:rPr>
          <w:lang w:val="sq-AL"/>
        </w:rPr>
      </w:pPr>
      <w:r w:rsidRPr="00F44A42">
        <w:rPr>
          <w:lang w:val="sq-AL"/>
        </w:rPr>
        <w:t>Në vitin 2021, 45% e poseduesve nuk kanë vepruar brenda afatit të parashikuar ligjor për përgjigje ndaj kërkesave, pra më së paku është përdorur heshtja e administratës. Duhet të përmendim se trendi i rritjes së këtij mjeti jo të popullarizuar nga poseduesit shënohet sërish në vitin 2022 dhe 2023 (përkatësisht 62% dhe 61%).</w:t>
      </w:r>
    </w:p>
    <w:p w14:paraId="274A8092" w14:textId="77777777" w:rsidR="009B6461" w:rsidRPr="00F44A42" w:rsidRDefault="009B6461" w:rsidP="00E05C9A">
      <w:pPr>
        <w:rPr>
          <w:lang w:val="sq-AL"/>
        </w:rPr>
      </w:pPr>
    </w:p>
    <w:p w14:paraId="59D7FB74" w14:textId="77777777" w:rsidR="00F44A42" w:rsidRPr="00F44A42" w:rsidRDefault="00F44A42" w:rsidP="00F44A42">
      <w:pPr>
        <w:rPr>
          <w:lang w:val="sq-AL"/>
        </w:rPr>
      </w:pPr>
      <w:r w:rsidRPr="00F44A42">
        <w:rPr>
          <w:lang w:val="sq-AL"/>
        </w:rPr>
        <w:lastRenderedPageBreak/>
        <w:t>Përveç ankesave të paraqitura kundër heshtjes së administratës, në Analizë janë paraqitur edhe të dhëna për rastet për të cilat Agjencia vepron në përputhje me kompetencat e saj ligjore:</w:t>
      </w:r>
    </w:p>
    <w:p w14:paraId="325FC1EA" w14:textId="4DD66B34" w:rsidR="005B2E24" w:rsidRPr="00F44A42" w:rsidRDefault="00F44A42" w:rsidP="00F44A42">
      <w:pPr>
        <w:rPr>
          <w:lang w:val="sq-AL"/>
        </w:rPr>
      </w:pPr>
      <w:r w:rsidRPr="00F44A42">
        <w:rPr>
          <w:lang w:val="sq-AL"/>
        </w:rPr>
        <w:t>- Ankesat e paraqitura për shkak të pakënaqësisë me përgjigjen/njoftimin e marrë nga poseduesit e informacionit</w:t>
      </w:r>
    </w:p>
    <w:p w14:paraId="54B9A13C" w14:textId="77777777" w:rsidR="009B6461" w:rsidRPr="00F44A42" w:rsidRDefault="009B6461" w:rsidP="00170AB5">
      <w:pPr>
        <w:rPr>
          <w:lang w:val="sq-AL"/>
        </w:rPr>
      </w:pPr>
    </w:p>
    <w:p w14:paraId="0E78BEF5" w14:textId="706B6ABD" w:rsidR="002914AA" w:rsidRPr="00F44A42" w:rsidRDefault="002914AA" w:rsidP="007C232B">
      <w:pPr>
        <w:jc w:val="center"/>
        <w:rPr>
          <w:lang w:val="sq-AL"/>
        </w:rPr>
      </w:pPr>
      <w:r w:rsidRPr="00F44A42">
        <w:rPr>
          <w:noProof/>
          <w:lang w:val="sq-AL" w:eastAsia="sq-AL"/>
        </w:rPr>
        <w:drawing>
          <wp:inline distT="0" distB="0" distL="0" distR="0" wp14:anchorId="656CD66C" wp14:editId="441DFB33">
            <wp:extent cx="5267325" cy="2872740"/>
            <wp:effectExtent l="0" t="0" r="9525" b="381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3EABCBC" w14:textId="77777777" w:rsidR="009B6461" w:rsidRPr="00F44A42" w:rsidRDefault="009B6461" w:rsidP="000A362D">
      <w:pPr>
        <w:rPr>
          <w:lang w:val="sq-AL"/>
        </w:rPr>
      </w:pPr>
    </w:p>
    <w:p w14:paraId="7702C4E8" w14:textId="741741E3" w:rsidR="00C936CE" w:rsidRPr="00F44A42" w:rsidRDefault="00F44A42" w:rsidP="001F479F">
      <w:pPr>
        <w:jc w:val="both"/>
        <w:rPr>
          <w:lang w:val="sq-AL"/>
        </w:rPr>
      </w:pPr>
      <w:r w:rsidRPr="00F44A42">
        <w:rPr>
          <w:lang w:val="sq-AL"/>
        </w:rPr>
        <w:t>- Ankesat e paraqitura kundër vendimeve/konkluzioneve nga ana e poseduesve</w:t>
      </w:r>
    </w:p>
    <w:p w14:paraId="15B18679" w14:textId="77777777" w:rsidR="009B6461" w:rsidRPr="00F44A42" w:rsidRDefault="009B6461" w:rsidP="001F479F">
      <w:pPr>
        <w:jc w:val="both"/>
        <w:rPr>
          <w:lang w:val="sq-AL"/>
        </w:rPr>
      </w:pPr>
    </w:p>
    <w:p w14:paraId="44651EAC" w14:textId="079D5552" w:rsidR="00170AB5" w:rsidRPr="00F44A42" w:rsidRDefault="002914AA" w:rsidP="007C232B">
      <w:pPr>
        <w:jc w:val="center"/>
        <w:rPr>
          <w:lang w:val="sq-AL"/>
        </w:rPr>
      </w:pPr>
      <w:r w:rsidRPr="00F44A42">
        <w:rPr>
          <w:noProof/>
          <w:lang w:val="sq-AL" w:eastAsia="sq-AL"/>
        </w:rPr>
        <w:drawing>
          <wp:inline distT="0" distB="0" distL="0" distR="0" wp14:anchorId="6E7766A0" wp14:editId="6F83AD42">
            <wp:extent cx="5248275" cy="2828925"/>
            <wp:effectExtent l="0" t="0" r="9525" b="952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CEE0216" w14:textId="59B86989" w:rsidR="00AE0AC3" w:rsidRPr="00F44A42" w:rsidRDefault="00F44A42" w:rsidP="00286A83">
      <w:pPr>
        <w:jc w:val="both"/>
        <w:rPr>
          <w:lang w:val="sq-AL"/>
        </w:rPr>
      </w:pPr>
      <w:r w:rsidRPr="00F44A42">
        <w:rPr>
          <w:lang w:val="sq-AL"/>
        </w:rPr>
        <w:lastRenderedPageBreak/>
        <w:t xml:space="preserve">Duhet të theksojmë se Agjencia bën përpjekje të mëdha për të reduktuar trendin e mosveprimit ndaj kërkesave të parashtruara nga poseduesit. Fatkeqësisht, </w:t>
      </w:r>
      <w:r w:rsidRPr="00F44A42">
        <w:rPr>
          <w:lang w:val="sq-AL"/>
        </w:rPr>
        <w:t>poseduesit</w:t>
      </w:r>
      <w:r w:rsidRPr="00F44A42">
        <w:rPr>
          <w:lang w:val="sq-AL"/>
        </w:rPr>
        <w:t xml:space="preserve"> e informacionit ende praktikojnë instrumentin e heshtjes së administratës për të mohuar të drejtën e garantuar me kushtetutë për qasje në informacione me karakter publik. Në funksionimin e saj, agjencia do të vazhdojë të vërë në dukje rëndësinë e eliminimit të plotë të këtij instrumenti jopopullor në praktikë, përmes trajnimeve të saj të destinuara për personat zyrtarë dhe me edukimin e tyre të vazhdueshëm, tek poseduesit e informacioneve, për të bashkëpunuar me institucionet dhe sektorin joqeveritar dhe do të theksojë rëndësinë e transparencës proaktive dhe publikimit të informacionit nga institucionet në faqet e internetit, dhe veçanërisht trajtimin në kohë të kërkesave për informacione me karakter publik.</w:t>
      </w:r>
    </w:p>
    <w:p w14:paraId="5F09C5C9" w14:textId="297D10EA" w:rsidR="009A4578" w:rsidRPr="00F44A42" w:rsidRDefault="00F44A42" w:rsidP="007E7140">
      <w:pPr>
        <w:jc w:val="both"/>
        <w:rPr>
          <w:lang w:val="sq-AL"/>
        </w:rPr>
      </w:pPr>
      <w:r w:rsidRPr="00F44A42">
        <w:rPr>
          <w:lang w:val="sq-AL"/>
        </w:rPr>
        <w:t>Në parim, poseduesit mund të publikojnë në mënyrë proaktive të gjitha informacionet që kanë, përveç atyre për të cilat ka përjashtime, të theksuara në nenin 6 të ligjit.</w:t>
      </w:r>
      <w:r w:rsidR="007E7140" w:rsidRPr="00F44A42">
        <w:rPr>
          <w:lang w:val="sq-AL"/>
        </w:rPr>
        <w:t xml:space="preserve"> </w:t>
      </w:r>
    </w:p>
    <w:p w14:paraId="30C0DD5D" w14:textId="2E3801A1" w:rsidR="00EA2124" w:rsidRPr="00F44A42" w:rsidRDefault="00F44A42" w:rsidP="00882C85">
      <w:pPr>
        <w:jc w:val="both"/>
        <w:rPr>
          <w:strike/>
          <w:u w:val="single"/>
          <w:lang w:val="sq-AL"/>
        </w:rPr>
      </w:pPr>
      <w:r w:rsidRPr="00F44A42">
        <w:rPr>
          <w:lang w:val="sq-AL"/>
        </w:rPr>
        <w:t>Në të ardhmen, ashtu si deri më tani, Agjencia do të vazhdojë të theksojë rëndësinë e transparencës proaktive të poseduesve të informacionit. Publikimi proaktiv i informacionit publik është një pjesë integrale e së drejtës për qasje në informacion, duke siguruar që informacioni kryesor të jetë i disponueshëm në kohën e duhur. Siç thuhet nga Gjykata Evropiane e të Drejtave të Njeriut, e cila e njeh atë si një të drejtë themelore të njeriut, "informacioni është kalimtar dhe çdo vonesë në publikimin e tij, qoftë edhe për një periudhë të shkurtër kohore, mund të zvogëlojë vlerën e përgjithshme dhe interesin e tij për të". Informacioni i publikuar në mënyrë proaktive duhet të jetë lehtësisht i aksesueshëm dhe i kuptueshëm, i përdorshëm, i rëndësishëm për qytetarët dhe i përditësuar rregullisht. Transparenca dhe qasja në informacione me karakter publik janë instrumente të pandashme në luftën kundër korrupsionit, që në thelb është Ligji për QLIKP-në.</w:t>
      </w:r>
      <w:r w:rsidR="00AF14F8" w:rsidRPr="00F44A42">
        <w:rPr>
          <w:lang w:val="sq-AL"/>
        </w:rPr>
        <w:t xml:space="preserve"> </w:t>
      </w:r>
    </w:p>
    <w:p w14:paraId="17BACF83" w14:textId="13F68D85" w:rsidR="002914AA" w:rsidRPr="00F44A42" w:rsidRDefault="002914AA" w:rsidP="005B2E24">
      <w:pPr>
        <w:jc w:val="center"/>
        <w:rPr>
          <w:u w:val="single"/>
          <w:lang w:val="sq-AL"/>
        </w:rPr>
      </w:pPr>
    </w:p>
    <w:p w14:paraId="74B79F71" w14:textId="77777777" w:rsidR="002914AA" w:rsidRPr="00F44A42" w:rsidRDefault="002914AA" w:rsidP="005B2E24">
      <w:pPr>
        <w:jc w:val="both"/>
        <w:rPr>
          <w:u w:val="single"/>
          <w:lang w:val="sq-AL"/>
        </w:rPr>
      </w:pPr>
    </w:p>
    <w:p w14:paraId="551C8A7C" w14:textId="252CBAF2" w:rsidR="00A9383A" w:rsidRDefault="00F44A42" w:rsidP="005B2E24">
      <w:pPr>
        <w:jc w:val="both"/>
        <w:rPr>
          <w:lang w:val="sq-AL"/>
        </w:rPr>
      </w:pPr>
      <w:r w:rsidRPr="00F44A42">
        <w:rPr>
          <w:lang w:val="sq-AL"/>
        </w:rPr>
        <w:t xml:space="preserve">Autor/e: </w:t>
      </w:r>
    </w:p>
    <w:p w14:paraId="400C8A24" w14:textId="79569220" w:rsidR="00F44A42" w:rsidRDefault="00F44A42" w:rsidP="005B2E24">
      <w:pPr>
        <w:jc w:val="both"/>
        <w:rPr>
          <w:lang w:val="sq-AL"/>
        </w:rPr>
      </w:pPr>
      <w:r>
        <w:rPr>
          <w:lang w:val="sq-AL"/>
        </w:rPr>
        <w:t xml:space="preserve">Mellani Ibraimi </w:t>
      </w:r>
    </w:p>
    <w:p w14:paraId="0930D1A3" w14:textId="17D89675" w:rsidR="00F44A42" w:rsidRDefault="00F44A42" w:rsidP="005B2E24">
      <w:pPr>
        <w:jc w:val="both"/>
        <w:rPr>
          <w:lang w:val="sq-AL"/>
        </w:rPr>
      </w:pPr>
    </w:p>
    <w:p w14:paraId="6B10B4BB" w14:textId="52DD321D" w:rsidR="00F44A42" w:rsidRDefault="00F44A42" w:rsidP="005B2E24">
      <w:pPr>
        <w:jc w:val="both"/>
        <w:rPr>
          <w:lang w:val="sq-AL"/>
        </w:rPr>
      </w:pPr>
      <w:r>
        <w:rPr>
          <w:lang w:val="sq-AL"/>
        </w:rPr>
        <w:t>Përktheu:</w:t>
      </w:r>
    </w:p>
    <w:p w14:paraId="0AD872DB" w14:textId="0D588DD7" w:rsidR="00F44A42" w:rsidRPr="00F44A42" w:rsidRDefault="00F44A42" w:rsidP="00F44A42">
      <w:pPr>
        <w:jc w:val="both"/>
        <w:rPr>
          <w:lang w:val="sq-AL"/>
        </w:rPr>
      </w:pPr>
      <w:r>
        <w:rPr>
          <w:lang w:val="sq-AL"/>
        </w:rPr>
        <w:t>m-r Valon Mustafa</w:t>
      </w:r>
      <w:bookmarkStart w:id="0" w:name="_GoBack"/>
      <w:bookmarkEnd w:id="0"/>
    </w:p>
    <w:p w14:paraId="7CCEEDE0" w14:textId="04350D46" w:rsidR="007C232B" w:rsidRPr="00F44A42" w:rsidRDefault="007C232B" w:rsidP="005B2E24">
      <w:pPr>
        <w:jc w:val="both"/>
        <w:rPr>
          <w:lang w:val="sq-AL"/>
        </w:rPr>
      </w:pPr>
    </w:p>
    <w:sectPr w:rsidR="007C232B" w:rsidRPr="00F44A42" w:rsidSect="00B50FF6">
      <w:footerReference w:type="default" r:id="rId25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1A06D" w14:textId="77777777" w:rsidR="00C23257" w:rsidRDefault="00C23257" w:rsidP="00B50FF6">
      <w:pPr>
        <w:spacing w:after="0" w:line="240" w:lineRule="auto"/>
      </w:pPr>
      <w:r>
        <w:separator/>
      </w:r>
    </w:p>
  </w:endnote>
  <w:endnote w:type="continuationSeparator" w:id="0">
    <w:p w14:paraId="40F04625" w14:textId="77777777" w:rsidR="00C23257" w:rsidRDefault="00C23257" w:rsidP="00B50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tobiSerif Regular">
    <w:altName w:val="Times New Roman"/>
    <w:panose1 w:val="00000000000000000000"/>
    <w:charset w:val="00"/>
    <w:family w:val="modern"/>
    <w:notTrueType/>
    <w:pitch w:val="variable"/>
    <w:sig w:usb0="00000001" w:usb1="5000204B" w:usb2="00000000" w:usb3="00000000" w:csb0="000000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62459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526A11" w14:textId="5710E045" w:rsidR="00B50FF6" w:rsidRDefault="00B50FF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0A4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38AF0133" w14:textId="77777777" w:rsidR="00B50FF6" w:rsidRDefault="00B50F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615AB" w14:textId="77777777" w:rsidR="00C23257" w:rsidRDefault="00C23257" w:rsidP="00B50FF6">
      <w:pPr>
        <w:spacing w:after="0" w:line="240" w:lineRule="auto"/>
      </w:pPr>
      <w:r>
        <w:separator/>
      </w:r>
    </w:p>
  </w:footnote>
  <w:footnote w:type="continuationSeparator" w:id="0">
    <w:p w14:paraId="2CDEF5A9" w14:textId="77777777" w:rsidR="00C23257" w:rsidRDefault="00C23257" w:rsidP="00B50F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93934"/>
    <w:multiLevelType w:val="hybridMultilevel"/>
    <w:tmpl w:val="F8DA4A98"/>
    <w:lvl w:ilvl="0" w:tplc="3BF0F97E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3256A"/>
    <w:multiLevelType w:val="hybridMultilevel"/>
    <w:tmpl w:val="7F14BC18"/>
    <w:lvl w:ilvl="0" w:tplc="19EA82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42DFE"/>
    <w:multiLevelType w:val="hybridMultilevel"/>
    <w:tmpl w:val="613826A2"/>
    <w:lvl w:ilvl="0" w:tplc="B48253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C80"/>
    <w:rsid w:val="0002609E"/>
    <w:rsid w:val="00030C2E"/>
    <w:rsid w:val="00042870"/>
    <w:rsid w:val="00060CEC"/>
    <w:rsid w:val="00081C7C"/>
    <w:rsid w:val="00084FC8"/>
    <w:rsid w:val="00092EF2"/>
    <w:rsid w:val="0009622A"/>
    <w:rsid w:val="000A115F"/>
    <w:rsid w:val="000A362D"/>
    <w:rsid w:val="000B4A44"/>
    <w:rsid w:val="000C033C"/>
    <w:rsid w:val="000C4CA5"/>
    <w:rsid w:val="000D4E93"/>
    <w:rsid w:val="000E0B9A"/>
    <w:rsid w:val="000E550F"/>
    <w:rsid w:val="000E799E"/>
    <w:rsid w:val="001169D6"/>
    <w:rsid w:val="00125283"/>
    <w:rsid w:val="00125DE7"/>
    <w:rsid w:val="00127513"/>
    <w:rsid w:val="00143B59"/>
    <w:rsid w:val="00144C20"/>
    <w:rsid w:val="00170AB5"/>
    <w:rsid w:val="001745B4"/>
    <w:rsid w:val="00186F43"/>
    <w:rsid w:val="001B4A1F"/>
    <w:rsid w:val="001E6E34"/>
    <w:rsid w:val="001F0619"/>
    <w:rsid w:val="001F311D"/>
    <w:rsid w:val="001F479F"/>
    <w:rsid w:val="00200A92"/>
    <w:rsid w:val="002074DC"/>
    <w:rsid w:val="002174AB"/>
    <w:rsid w:val="00217F56"/>
    <w:rsid w:val="002372BD"/>
    <w:rsid w:val="002418A9"/>
    <w:rsid w:val="00243C4E"/>
    <w:rsid w:val="00247EB7"/>
    <w:rsid w:val="00252D7B"/>
    <w:rsid w:val="002568FF"/>
    <w:rsid w:val="00262D3E"/>
    <w:rsid w:val="002645C1"/>
    <w:rsid w:val="00286591"/>
    <w:rsid w:val="00286A83"/>
    <w:rsid w:val="002914AA"/>
    <w:rsid w:val="0029792A"/>
    <w:rsid w:val="002C757F"/>
    <w:rsid w:val="003225A5"/>
    <w:rsid w:val="00324E8A"/>
    <w:rsid w:val="00326E8F"/>
    <w:rsid w:val="00327E88"/>
    <w:rsid w:val="00344DE8"/>
    <w:rsid w:val="00344F1C"/>
    <w:rsid w:val="00347C5E"/>
    <w:rsid w:val="00367182"/>
    <w:rsid w:val="00370888"/>
    <w:rsid w:val="00373BCA"/>
    <w:rsid w:val="00376846"/>
    <w:rsid w:val="00383B72"/>
    <w:rsid w:val="00387E8D"/>
    <w:rsid w:val="003930E3"/>
    <w:rsid w:val="003A3C43"/>
    <w:rsid w:val="003B2BD4"/>
    <w:rsid w:val="003B61B1"/>
    <w:rsid w:val="003C1E3E"/>
    <w:rsid w:val="003C2C26"/>
    <w:rsid w:val="00400ED7"/>
    <w:rsid w:val="00416FA0"/>
    <w:rsid w:val="004239E2"/>
    <w:rsid w:val="004373D4"/>
    <w:rsid w:val="00440991"/>
    <w:rsid w:val="00440FB7"/>
    <w:rsid w:val="004622C1"/>
    <w:rsid w:val="004633A0"/>
    <w:rsid w:val="00481203"/>
    <w:rsid w:val="00495712"/>
    <w:rsid w:val="004C3306"/>
    <w:rsid w:val="004D7E21"/>
    <w:rsid w:val="004E2355"/>
    <w:rsid w:val="004E3082"/>
    <w:rsid w:val="004E6253"/>
    <w:rsid w:val="00503F45"/>
    <w:rsid w:val="0050767F"/>
    <w:rsid w:val="0054481D"/>
    <w:rsid w:val="00553224"/>
    <w:rsid w:val="0057278A"/>
    <w:rsid w:val="005729A3"/>
    <w:rsid w:val="00592C82"/>
    <w:rsid w:val="005B07E5"/>
    <w:rsid w:val="005B2E24"/>
    <w:rsid w:val="005C2184"/>
    <w:rsid w:val="005F0091"/>
    <w:rsid w:val="005F1E6C"/>
    <w:rsid w:val="005F4E34"/>
    <w:rsid w:val="005F7428"/>
    <w:rsid w:val="006012D6"/>
    <w:rsid w:val="00622A93"/>
    <w:rsid w:val="00634BAA"/>
    <w:rsid w:val="00642C4F"/>
    <w:rsid w:val="00656861"/>
    <w:rsid w:val="00690A49"/>
    <w:rsid w:val="00693565"/>
    <w:rsid w:val="006B43EE"/>
    <w:rsid w:val="006B5334"/>
    <w:rsid w:val="006C3A2F"/>
    <w:rsid w:val="006D201F"/>
    <w:rsid w:val="006D2861"/>
    <w:rsid w:val="006E7380"/>
    <w:rsid w:val="006E7BCC"/>
    <w:rsid w:val="006F0646"/>
    <w:rsid w:val="006F7779"/>
    <w:rsid w:val="00705663"/>
    <w:rsid w:val="00733933"/>
    <w:rsid w:val="0074668B"/>
    <w:rsid w:val="0077194B"/>
    <w:rsid w:val="00773B23"/>
    <w:rsid w:val="00775B84"/>
    <w:rsid w:val="00794634"/>
    <w:rsid w:val="007952EA"/>
    <w:rsid w:val="007A49D0"/>
    <w:rsid w:val="007A4F6A"/>
    <w:rsid w:val="007A53A2"/>
    <w:rsid w:val="007A76B7"/>
    <w:rsid w:val="007B1535"/>
    <w:rsid w:val="007C232B"/>
    <w:rsid w:val="007C35BB"/>
    <w:rsid w:val="007C3A24"/>
    <w:rsid w:val="007C6C21"/>
    <w:rsid w:val="007D690D"/>
    <w:rsid w:val="007E4B6E"/>
    <w:rsid w:val="007E7140"/>
    <w:rsid w:val="00804D35"/>
    <w:rsid w:val="00814BD6"/>
    <w:rsid w:val="0086335A"/>
    <w:rsid w:val="00864FAF"/>
    <w:rsid w:val="00874BC5"/>
    <w:rsid w:val="00882C85"/>
    <w:rsid w:val="008954EA"/>
    <w:rsid w:val="008B1417"/>
    <w:rsid w:val="008B29D1"/>
    <w:rsid w:val="008B42DC"/>
    <w:rsid w:val="008C1947"/>
    <w:rsid w:val="008C628F"/>
    <w:rsid w:val="008C73EB"/>
    <w:rsid w:val="008F6362"/>
    <w:rsid w:val="009013DF"/>
    <w:rsid w:val="00906632"/>
    <w:rsid w:val="00937FCE"/>
    <w:rsid w:val="009417ED"/>
    <w:rsid w:val="0095047D"/>
    <w:rsid w:val="00951B07"/>
    <w:rsid w:val="00972EA9"/>
    <w:rsid w:val="0098528D"/>
    <w:rsid w:val="009A2438"/>
    <w:rsid w:val="009A4578"/>
    <w:rsid w:val="009A64BA"/>
    <w:rsid w:val="009B6461"/>
    <w:rsid w:val="009C148E"/>
    <w:rsid w:val="009C5D31"/>
    <w:rsid w:val="009C6446"/>
    <w:rsid w:val="009E268D"/>
    <w:rsid w:val="009E2DB6"/>
    <w:rsid w:val="00A103EB"/>
    <w:rsid w:val="00A735E1"/>
    <w:rsid w:val="00A74EDF"/>
    <w:rsid w:val="00A827A1"/>
    <w:rsid w:val="00A9383A"/>
    <w:rsid w:val="00A97A7A"/>
    <w:rsid w:val="00AA297D"/>
    <w:rsid w:val="00AB41F8"/>
    <w:rsid w:val="00AC264A"/>
    <w:rsid w:val="00AD3F39"/>
    <w:rsid w:val="00AE0AC3"/>
    <w:rsid w:val="00AF14F8"/>
    <w:rsid w:val="00AF1F2D"/>
    <w:rsid w:val="00B32CA7"/>
    <w:rsid w:val="00B50FF6"/>
    <w:rsid w:val="00B661D5"/>
    <w:rsid w:val="00B96920"/>
    <w:rsid w:val="00BA7106"/>
    <w:rsid w:val="00BA75A7"/>
    <w:rsid w:val="00BB32DC"/>
    <w:rsid w:val="00BD5EA9"/>
    <w:rsid w:val="00C112A2"/>
    <w:rsid w:val="00C17141"/>
    <w:rsid w:val="00C23257"/>
    <w:rsid w:val="00C36B41"/>
    <w:rsid w:val="00C36F77"/>
    <w:rsid w:val="00C62449"/>
    <w:rsid w:val="00C74926"/>
    <w:rsid w:val="00C754F9"/>
    <w:rsid w:val="00C936CE"/>
    <w:rsid w:val="00CA0998"/>
    <w:rsid w:val="00CB1283"/>
    <w:rsid w:val="00CB3054"/>
    <w:rsid w:val="00CB4855"/>
    <w:rsid w:val="00CC3141"/>
    <w:rsid w:val="00CE09E9"/>
    <w:rsid w:val="00CE1649"/>
    <w:rsid w:val="00CF3BE7"/>
    <w:rsid w:val="00CF7A7D"/>
    <w:rsid w:val="00CF7B06"/>
    <w:rsid w:val="00D12581"/>
    <w:rsid w:val="00D3372A"/>
    <w:rsid w:val="00D945FC"/>
    <w:rsid w:val="00DA0B53"/>
    <w:rsid w:val="00DD6C80"/>
    <w:rsid w:val="00DE3FC1"/>
    <w:rsid w:val="00DF4159"/>
    <w:rsid w:val="00DF5206"/>
    <w:rsid w:val="00DF5CC9"/>
    <w:rsid w:val="00E02E45"/>
    <w:rsid w:val="00E05C9A"/>
    <w:rsid w:val="00E2530A"/>
    <w:rsid w:val="00E36C6D"/>
    <w:rsid w:val="00E403FA"/>
    <w:rsid w:val="00E4340E"/>
    <w:rsid w:val="00E71B6B"/>
    <w:rsid w:val="00E72EEB"/>
    <w:rsid w:val="00E779CC"/>
    <w:rsid w:val="00E86861"/>
    <w:rsid w:val="00E95D5C"/>
    <w:rsid w:val="00EA09BA"/>
    <w:rsid w:val="00EA2124"/>
    <w:rsid w:val="00EC04E9"/>
    <w:rsid w:val="00EC6EDD"/>
    <w:rsid w:val="00ED4C16"/>
    <w:rsid w:val="00EE2622"/>
    <w:rsid w:val="00EE4A57"/>
    <w:rsid w:val="00EF2E67"/>
    <w:rsid w:val="00F03FF0"/>
    <w:rsid w:val="00F064FD"/>
    <w:rsid w:val="00F2470C"/>
    <w:rsid w:val="00F30BB6"/>
    <w:rsid w:val="00F41D70"/>
    <w:rsid w:val="00F43A1A"/>
    <w:rsid w:val="00F44A42"/>
    <w:rsid w:val="00F47D6D"/>
    <w:rsid w:val="00F655CC"/>
    <w:rsid w:val="00F725FE"/>
    <w:rsid w:val="00FA2B09"/>
    <w:rsid w:val="00FC5C5B"/>
    <w:rsid w:val="00FC6791"/>
    <w:rsid w:val="00FF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721CB"/>
  <w15:chartTrackingRefBased/>
  <w15:docId w15:val="{E6562E82-AFA3-47A9-B695-5CF5BD99E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060CE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0CEC"/>
    <w:rPr>
      <w:i/>
      <w:iCs/>
      <w:color w:val="4F81BD" w:themeColor="accent1"/>
    </w:rPr>
  </w:style>
  <w:style w:type="paragraph" w:styleId="NoSpacing">
    <w:name w:val="No Spacing"/>
    <w:uiPriority w:val="1"/>
    <w:qFormat/>
    <w:rsid w:val="001B4A1F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1B4A1F"/>
    <w:rPr>
      <w:b/>
      <w:bCs/>
      <w:i/>
      <w:iCs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1B4A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4A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45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50F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0FF6"/>
  </w:style>
  <w:style w:type="paragraph" w:styleId="Footer">
    <w:name w:val="footer"/>
    <w:basedOn w:val="Normal"/>
    <w:link w:val="FooterChar"/>
    <w:uiPriority w:val="99"/>
    <w:unhideWhenUsed/>
    <w:rsid w:val="00B50F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0FF6"/>
  </w:style>
  <w:style w:type="paragraph" w:styleId="BalloonText">
    <w:name w:val="Balloon Text"/>
    <w:basedOn w:val="Normal"/>
    <w:link w:val="BalloonTextChar"/>
    <w:uiPriority w:val="99"/>
    <w:semiHidden/>
    <w:unhideWhenUsed/>
    <w:rsid w:val="000E55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50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C2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C2C2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C2C2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C2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C2C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hart" Target="charts/chart13.xml"/><Relationship Id="rId7" Type="http://schemas.openxmlformats.org/officeDocument/2006/relationships/image" Target="media/image1.png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5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q-AL" sz="1100" b="0" i="0">
                <a:solidFill>
                  <a:sysClr val="windowText" lastClr="000000"/>
                </a:solidFill>
                <a:latin typeface="+mn-lt"/>
              </a:rPr>
              <a:t>Numri i poseduesve në periudhën</a:t>
            </a:r>
            <a:r>
              <a:rPr lang="mk-MK" sz="1100" b="0" i="0" baseline="0">
                <a:solidFill>
                  <a:sysClr val="windowText" lastClr="000000"/>
                </a:solidFill>
                <a:latin typeface="+mn-lt"/>
              </a:rPr>
              <a:t> 2019-2023</a:t>
            </a:r>
            <a:endParaRPr lang="mk-MK" sz="1100" b="0" i="0">
              <a:solidFill>
                <a:sysClr val="windowText" lastClr="000000"/>
              </a:solidFill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cap="none" spc="2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Sheet2!$B$1</c:f>
              <c:strCache>
                <c:ptCount val="1"/>
                <c:pt idx="0">
                  <c:v>вкупен број на иматели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D05-4A22-8F01-A6E27B76A60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D05-4A22-8F01-A6E27B76A60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D05-4A22-8F01-A6E27B76A60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D05-4A22-8F01-A6E27B76A60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D05-4A22-8F01-A6E27B76A60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Sheet2!$A$2:$A$6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Sheet2!$B$2:$B$6</c:f>
              <c:numCache>
                <c:formatCode>General</c:formatCode>
                <c:ptCount val="5"/>
                <c:pt idx="0">
                  <c:v>1257</c:v>
                </c:pt>
                <c:pt idx="1">
                  <c:v>1440</c:v>
                </c:pt>
                <c:pt idx="2">
                  <c:v>1445</c:v>
                </c:pt>
                <c:pt idx="3">
                  <c:v>1449</c:v>
                </c:pt>
                <c:pt idx="4">
                  <c:v>1457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D05-4A22-8F01-A6E27B76A60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Arial Nova" panose="020B0504020202020204" pitchFamily="34" charset="0"/>
                <a:ea typeface="+mn-ea"/>
                <a:cs typeface="+mn-cs"/>
              </a:defRPr>
            </a:pPr>
            <a:r>
              <a:rPr lang="sq-AL" sz="1200" b="0" i="1">
                <a:latin typeface="Arial Nova" panose="020B0504020202020204" pitchFamily="34" charset="0"/>
              </a:rPr>
              <a:t>Autoritetet gjyqësore</a:t>
            </a:r>
            <a:endParaRPr lang="mk-MK" sz="1200" b="0" i="1">
              <a:latin typeface="Arial Nova" panose="020B05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1" u="none" strike="noStrike" kern="1200" spc="0" baseline="0">
              <a:solidFill>
                <a:sysClr val="windowText" lastClr="000000"/>
              </a:solidFill>
              <a:latin typeface="Arial Nova" panose="020B0504020202020204" pitchFamily="34" charset="0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Судски органи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Sheet4!$A$2:$A$7</c:f>
              <c:numCache>
                <c:formatCode>General</c:formatCode>
                <c:ptCount val="6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</c:numCache>
            </c:numRef>
          </c:xVal>
          <c:yVal>
            <c:numRef>
              <c:f>Sheet4!$B$2:$B$7</c:f>
              <c:numCache>
                <c:formatCode>General</c:formatCode>
                <c:ptCount val="6"/>
                <c:pt idx="0">
                  <c:v>38</c:v>
                </c:pt>
                <c:pt idx="1">
                  <c:v>12</c:v>
                </c:pt>
                <c:pt idx="2">
                  <c:v>30</c:v>
                </c:pt>
                <c:pt idx="3">
                  <c:v>35</c:v>
                </c:pt>
                <c:pt idx="4">
                  <c:v>38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039-4A8E-A388-3D864EE0193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912440639"/>
        <c:axId val="1912453535"/>
      </c:scatterChart>
      <c:valAx>
        <c:axId val="1912440639"/>
        <c:scaling>
          <c:orientation val="minMax"/>
          <c:max val="2023"/>
          <c:min val="201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912453535"/>
        <c:crosses val="autoZero"/>
        <c:crossBetween val="midCat"/>
        <c:majorUnit val="1"/>
      </c:valAx>
      <c:valAx>
        <c:axId val="1912453535"/>
        <c:scaling>
          <c:orientation val="minMax"/>
          <c:max val="50"/>
          <c:min val="5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1244063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sq-A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Arial Nova" panose="020B0504020202020204" pitchFamily="34" charset="0"/>
                <a:ea typeface="+mn-ea"/>
                <a:cs typeface="+mn-cs"/>
              </a:defRPr>
            </a:pPr>
            <a:r>
              <a:rPr lang="sq-AL"/>
              <a:t>Institucionet shëndetësore</a:t>
            </a:r>
            <a:endParaRPr lang="mk-MK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1" u="none" strike="noStrike" kern="1200" spc="0" baseline="0">
              <a:solidFill>
                <a:sysClr val="windowText" lastClr="000000"/>
              </a:solidFill>
              <a:latin typeface="Arial Nova" panose="020B0504020202020204" pitchFamily="34" charset="0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Sheet5!$B$1</c:f>
              <c:strCache>
                <c:ptCount val="1"/>
                <c:pt idx="0">
                  <c:v>Здравствени институции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Sheet5!$A$2:$A$6</c:f>
              <c:numCache>
                <c:formatCode>General</c:formatCode>
                <c:ptCount val="5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</c:numCache>
            </c:numRef>
          </c:xVal>
          <c:yVal>
            <c:numRef>
              <c:f>Sheet5!$B$2:$B$6</c:f>
              <c:numCache>
                <c:formatCode>General</c:formatCode>
                <c:ptCount val="5"/>
                <c:pt idx="0">
                  <c:v>11</c:v>
                </c:pt>
                <c:pt idx="1">
                  <c:v>10</c:v>
                </c:pt>
                <c:pt idx="2">
                  <c:v>31</c:v>
                </c:pt>
                <c:pt idx="3">
                  <c:v>261</c:v>
                </c:pt>
                <c:pt idx="4">
                  <c:v>411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EC6-4A42-9B2B-48218EA2CE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12451455"/>
        <c:axId val="1912442303"/>
      </c:scatterChart>
      <c:valAx>
        <c:axId val="1912451455"/>
        <c:scaling>
          <c:orientation val="minMax"/>
          <c:max val="2023"/>
          <c:min val="201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912442303"/>
        <c:crosses val="autoZero"/>
        <c:crossBetween val="midCat"/>
        <c:majorUnit val="1"/>
      </c:valAx>
      <c:valAx>
        <c:axId val="1912442303"/>
        <c:scaling>
          <c:orientation val="minMax"/>
          <c:max val="500"/>
          <c:min val="1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1245145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Arial Nova" panose="020B0504020202020204" pitchFamily="34" charset="0"/>
                <a:ea typeface="+mn-ea"/>
                <a:cs typeface="+mn-cs"/>
              </a:defRPr>
            </a:pPr>
            <a:r>
              <a:rPr lang="sq-AL"/>
              <a:t>Partitë politike</a:t>
            </a:r>
            <a:endParaRPr lang="mk-MK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1" u="none" strike="noStrike" kern="1200" spc="0" baseline="0">
              <a:solidFill>
                <a:sysClr val="windowText" lastClr="000000"/>
              </a:solidFill>
              <a:latin typeface="Arial Nova" panose="020B0504020202020204" pitchFamily="34" charset="0"/>
              <a:ea typeface="+mn-ea"/>
              <a:cs typeface="+mn-cs"/>
            </a:defRPr>
          </a:pPr>
          <a:endParaRPr lang="sq-AL"/>
        </a:p>
      </c:txPr>
    </c:title>
    <c:autoTitleDeleted val="0"/>
    <c:plotArea>
      <c:layout>
        <c:manualLayout>
          <c:layoutTarget val="inner"/>
          <c:xMode val="edge"/>
          <c:yMode val="edge"/>
          <c:x val="8.7434343434343434E-2"/>
          <c:y val="0.28529658792650919"/>
          <c:w val="0.82513131313131316"/>
          <c:h val="0.52220997375328082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Sheet10!$B$1</c:f>
              <c:strCache>
                <c:ptCount val="1"/>
                <c:pt idx="0">
                  <c:v>Политички партии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q-A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785-4136-BD1E-923A9BE15EAB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q-A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785-4136-BD1E-923A9BE15EAB}"/>
                </c:ext>
              </c:extLst>
            </c:dLbl>
            <c:dLbl>
              <c:idx val="2"/>
              <c:layout>
                <c:manualLayout>
                  <c:x val="-5.890909090909098E-2"/>
                  <c:y val="-0.1209256342957130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q-A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85-4136-BD1E-923A9BE15EAB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q-A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785-4136-BD1E-923A9BE15EAB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q-A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785-4136-BD1E-923A9BE15EA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Sheet10!$A$2:$A$6</c:f>
              <c:numCache>
                <c:formatCode>General</c:formatCode>
                <c:ptCount val="5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</c:numCache>
            </c:numRef>
          </c:xVal>
          <c:yVal>
            <c:numRef>
              <c:f>Sheet10!$B$2:$B$6</c:f>
              <c:numCache>
                <c:formatCode>General</c:formatCode>
                <c:ptCount val="5"/>
                <c:pt idx="0">
                  <c:v>6</c:v>
                </c:pt>
                <c:pt idx="1">
                  <c:v>0</c:v>
                </c:pt>
                <c:pt idx="2">
                  <c:v>21</c:v>
                </c:pt>
                <c:pt idx="3">
                  <c:v>0</c:v>
                </c:pt>
                <c:pt idx="4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1C3-4545-AB4C-49864A5CD3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12428815"/>
        <c:axId val="1912428399"/>
      </c:scatterChart>
      <c:valAx>
        <c:axId val="1912428815"/>
        <c:scaling>
          <c:orientation val="minMax"/>
          <c:max val="2023"/>
          <c:min val="201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912428399"/>
        <c:crosses val="autoZero"/>
        <c:crossBetween val="midCat"/>
      </c:valAx>
      <c:valAx>
        <c:axId val="191242839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1242881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'молк на управа- жалби'!$B$1</c:f>
              <c:strCache>
                <c:ptCount val="1"/>
                <c:pt idx="0">
                  <c:v>вкупен број на поднесени жалби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'молк на управа- жалби'!$A$2:$A$6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'молк на управа- жалби'!$B$2:$B$6</c:f>
              <c:numCache>
                <c:formatCode>General</c:formatCode>
                <c:ptCount val="5"/>
                <c:pt idx="0">
                  <c:v>755</c:v>
                </c:pt>
                <c:pt idx="1">
                  <c:v>752</c:v>
                </c:pt>
                <c:pt idx="2">
                  <c:v>798</c:v>
                </c:pt>
                <c:pt idx="3">
                  <c:v>343</c:v>
                </c:pt>
                <c:pt idx="4">
                  <c:v>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35-43DE-8941-F997FE13833A}"/>
            </c:ext>
          </c:extLst>
        </c:ser>
        <c:ser>
          <c:idx val="1"/>
          <c:order val="1"/>
          <c:tx>
            <c:strRef>
              <c:f>'молк на управа- жалби'!$C$1</c:f>
              <c:strCache>
                <c:ptCount val="1"/>
                <c:pt idx="0">
                  <c:v>број на поднесени жалби поради молк на управата</c:v>
                </c:pt>
              </c:strCache>
            </c:strRef>
          </c:tx>
          <c:spPr>
            <a:noFill/>
            <a:ln w="25400" cap="flat" cmpd="sng" algn="ctr">
              <a:solidFill>
                <a:srgbClr val="FF0000"/>
              </a:solidFill>
              <a:miter lim="800000"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'молк на управа- жалби'!$A$2:$A$6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'молк на управа- жалби'!$C$2:$C$6</c:f>
              <c:numCache>
                <c:formatCode>General</c:formatCode>
                <c:ptCount val="5"/>
                <c:pt idx="0">
                  <c:v>677</c:v>
                </c:pt>
                <c:pt idx="1">
                  <c:v>611</c:v>
                </c:pt>
                <c:pt idx="2">
                  <c:v>359</c:v>
                </c:pt>
                <c:pt idx="3">
                  <c:v>211</c:v>
                </c:pt>
                <c:pt idx="4">
                  <c:v>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35-43DE-8941-F997FE1383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35"/>
        <c:axId val="1272805183"/>
        <c:axId val="1272806015"/>
      </c:barChart>
      <c:catAx>
        <c:axId val="12728051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272806015"/>
        <c:crosses val="autoZero"/>
        <c:auto val="1"/>
        <c:lblAlgn val="ctr"/>
        <c:lblOffset val="100"/>
        <c:noMultiLvlLbl val="0"/>
      </c:catAx>
      <c:valAx>
        <c:axId val="127280601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728051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q-AL" sz="1100" i="0">
                <a:solidFill>
                  <a:sysClr val="windowText" lastClr="000000"/>
                </a:solidFill>
                <a:latin typeface="+mn-lt"/>
              </a:rPr>
              <a:t>Numri i ankesave të paraqitura për shkak të pakënaqësisë me përgjigjen/njoftimin e marrur nga poseduesit e informacionit</a:t>
            </a:r>
            <a:endParaRPr lang="mk-MK" sz="1100" i="0">
              <a:solidFill>
                <a:sysClr val="windowText" lastClr="000000"/>
              </a:solidFill>
              <a:latin typeface="+mn-lt"/>
            </a:endParaRPr>
          </a:p>
        </c:rich>
      </c:tx>
      <c:layout>
        <c:manualLayout>
          <c:xMode val="edge"/>
          <c:yMode val="edge"/>
          <c:x val="0.13604806960145263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cap="none" spc="2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Sheet13!$B$1</c:f>
              <c:strCache>
                <c:ptCount val="1"/>
                <c:pt idx="0">
                  <c:v>против одговор/известување од имателите на информации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D23-48A2-8CCE-DAFDC32126EE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D23-48A2-8CCE-DAFDC32126EE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D23-48A2-8CCE-DAFDC32126EE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BD23-48A2-8CCE-DAFDC32126EE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/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BD23-48A2-8CCE-DAFDC32126E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Sheet13!$A$2:$A$6</c:f>
              <c:numCache>
                <c:formatCode>General</c:formatCode>
                <c:ptCount val="5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</c:numCache>
            </c:numRef>
          </c:cat>
          <c:val>
            <c:numRef>
              <c:f>Sheet13!$B$2:$B$6</c:f>
              <c:numCache>
                <c:formatCode>General</c:formatCode>
                <c:ptCount val="5"/>
                <c:pt idx="0">
                  <c:v>53</c:v>
                </c:pt>
                <c:pt idx="1">
                  <c:v>47</c:v>
                </c:pt>
                <c:pt idx="2">
                  <c:v>83</c:v>
                </c:pt>
                <c:pt idx="3">
                  <c:v>84</c:v>
                </c:pt>
                <c:pt idx="4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D23-48A2-8CCE-DAFDC32126E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cap="none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q-AL" sz="1100" b="0">
                <a:solidFill>
                  <a:sysClr val="windowText" lastClr="000000"/>
                </a:solidFill>
                <a:latin typeface="+mn-lt"/>
              </a:rPr>
              <a:t>Numri i ankesave të paraqitura kundër vendimeve/konkluzioneve nga poseduesit e informacionit</a:t>
            </a:r>
            <a:endParaRPr lang="mk-MK" sz="1100" b="0">
              <a:solidFill>
                <a:sysClr val="windowText" lastClr="000000"/>
              </a:solidFill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cap="none" spc="2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Sheet12!$B$1</c:f>
              <c:strCache>
                <c:ptCount val="1"/>
                <c:pt idx="0">
                  <c:v>решенија/заклучок од иматели на информации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E86-4FE4-8B31-0908754A480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E86-4FE4-8B31-0908754A480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E86-4FE4-8B31-0908754A480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E86-4FE4-8B31-0908754A480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E86-4FE4-8B31-0908754A480A}"/>
              </c:ext>
            </c:extLst>
          </c:dPt>
          <c:dLbls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q-A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AE86-4FE4-8B31-0908754A48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numRef>
              <c:f>Sheet12!$A$2:$A$6</c:f>
              <c:numCache>
                <c:formatCode>General</c:formatCode>
                <c:ptCount val="5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</c:numCache>
            </c:numRef>
          </c:cat>
          <c:val>
            <c:numRef>
              <c:f>Sheet12!$B$2:$B$6</c:f>
              <c:numCache>
                <c:formatCode>General</c:formatCode>
                <c:ptCount val="5"/>
                <c:pt idx="0">
                  <c:v>123</c:v>
                </c:pt>
                <c:pt idx="1">
                  <c:v>85</c:v>
                </c:pt>
                <c:pt idx="2">
                  <c:v>356</c:v>
                </c:pt>
                <c:pt idx="3">
                  <c:v>57</c:v>
                </c:pt>
                <c:pt idx="4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E86-4FE4-8B31-0908754A480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'2019'!$A$2</c:f>
              <c:strCache>
                <c:ptCount val="1"/>
                <c:pt idx="0">
                  <c:v>ИМАТЕЛИ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'2019'!$B$1:$F$1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'2019'!$B$2:$F$2</c:f>
              <c:numCache>
                <c:formatCode>General</c:formatCode>
                <c:ptCount val="5"/>
                <c:pt idx="0">
                  <c:v>1257</c:v>
                </c:pt>
                <c:pt idx="1">
                  <c:v>1440</c:v>
                </c:pt>
                <c:pt idx="2">
                  <c:v>1445</c:v>
                </c:pt>
                <c:pt idx="3">
                  <c:v>1449</c:v>
                </c:pt>
                <c:pt idx="4">
                  <c:v>1457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5-49B9-A4A2-670AF596FA1C}"/>
            </c:ext>
          </c:extLst>
        </c:ser>
        <c:ser>
          <c:idx val="1"/>
          <c:order val="1"/>
          <c:tx>
            <c:strRef>
              <c:f>'2019'!$A$3</c:f>
              <c:strCache>
                <c:ptCount val="1"/>
                <c:pt idx="0">
                  <c:v>ГОДИШНИ ИЗВЕШТАИ</c:v>
                </c:pt>
              </c:strCache>
            </c:strRef>
          </c:tx>
          <c:spPr>
            <a:noFill/>
            <a:ln w="25400" cap="flat" cmpd="sng" algn="ctr">
              <a:solidFill>
                <a:schemeClr val="accent2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-1.3342883222379032E-17"/>
                  <c:y val="3.54609929078014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1BD-42B0-805A-06D9B20F95B1}"/>
                </c:ext>
              </c:extLst>
            </c:dLbl>
            <c:dLbl>
              <c:idx val="1"/>
              <c:layout>
                <c:manualLayout>
                  <c:x val="0"/>
                  <c:y val="2.12765957446808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1BD-42B0-805A-06D9B20F95B1}"/>
                </c:ext>
              </c:extLst>
            </c:dLbl>
            <c:dLbl>
              <c:idx val="2"/>
              <c:layout>
                <c:manualLayout>
                  <c:x val="2.0378457059679767E-2"/>
                  <c:y val="2.1276595744680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55-49B9-A4A2-670AF596FA1C}"/>
                </c:ext>
              </c:extLst>
            </c:dLbl>
            <c:dLbl>
              <c:idx val="3"/>
              <c:layout>
                <c:manualLayout>
                  <c:x val="1.621199096837786E-2"/>
                  <c:y val="2.83687943262411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355-49B9-A4A2-670AF596FA1C}"/>
                </c:ext>
              </c:extLst>
            </c:dLbl>
            <c:dLbl>
              <c:idx val="4"/>
              <c:layout>
                <c:manualLayout>
                  <c:x val="2.9664064917649485E-2"/>
                  <c:y val="1.41843971631205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355-49B9-A4A2-670AF596FA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'2019'!$B$1:$F$1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'2019'!$B$3:$F$3</c:f>
              <c:numCache>
                <c:formatCode>General</c:formatCode>
                <c:ptCount val="5"/>
                <c:pt idx="0">
                  <c:v>1047</c:v>
                </c:pt>
                <c:pt idx="1">
                  <c:v>1132</c:v>
                </c:pt>
                <c:pt idx="2">
                  <c:v>1334</c:v>
                </c:pt>
                <c:pt idx="3">
                  <c:v>1404</c:v>
                </c:pt>
                <c:pt idx="4">
                  <c:v>1394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355-49B9-A4A2-670AF596FA1C}"/>
            </c:ext>
          </c:extLst>
        </c:ser>
        <c:ser>
          <c:idx val="2"/>
          <c:order val="2"/>
          <c:tx>
            <c:strRef>
              <c:f>'2019'!$A$4</c:f>
              <c:strCache>
                <c:ptCount val="1"/>
                <c:pt idx="0">
                  <c:v>ЖАЛБИ</c:v>
                </c:pt>
              </c:strCache>
            </c:strRef>
          </c:tx>
          <c:spPr>
            <a:noFill/>
            <a:ln w="25400" cap="flat" cmpd="sng" algn="ctr">
              <a:solidFill>
                <a:schemeClr val="accent3"/>
              </a:solidFill>
              <a:miter lim="800000"/>
            </a:ln>
            <a:effectLst/>
          </c:spPr>
          <c:invertIfNegative val="0"/>
          <c:dLbls>
            <c:dLbl>
              <c:idx val="0"/>
              <c:layout>
                <c:manualLayout>
                  <c:x val="5.822416302765648E-3"/>
                  <c:y val="3.54609929078014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BD-42B0-805A-06D9B20F95B1}"/>
                </c:ext>
              </c:extLst>
            </c:dLbl>
            <c:dLbl>
              <c:idx val="1"/>
              <c:layout>
                <c:manualLayout>
                  <c:x val="0"/>
                  <c:y val="3.54609929078014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BD-42B0-805A-06D9B20F95B1}"/>
                </c:ext>
              </c:extLst>
            </c:dLbl>
            <c:dLbl>
              <c:idx val="2"/>
              <c:layout>
                <c:manualLayout>
                  <c:x val="0"/>
                  <c:y val="2.83687943262411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BD-42B0-805A-06D9B20F95B1}"/>
                </c:ext>
              </c:extLst>
            </c:dLbl>
            <c:dLbl>
              <c:idx val="3"/>
              <c:layout>
                <c:manualLayout>
                  <c:x val="5.8224163027655413E-3"/>
                  <c:y val="-6.50110693175489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BD-42B0-805A-06D9B20F95B1}"/>
                </c:ext>
              </c:extLst>
            </c:dLbl>
            <c:dLbl>
              <c:idx val="4"/>
              <c:layout>
                <c:manualLayout>
                  <c:x val="-2.1348613155806451E-16"/>
                  <c:y val="2.127659574468085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BD-42B0-805A-06D9B20F95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'2019'!$B$1:$F$1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'2019'!$B$4:$F$4</c:f>
              <c:numCache>
                <c:formatCode>General</c:formatCode>
                <c:ptCount val="5"/>
                <c:pt idx="0">
                  <c:v>755</c:v>
                </c:pt>
                <c:pt idx="1">
                  <c:v>752</c:v>
                </c:pt>
                <c:pt idx="2">
                  <c:v>798</c:v>
                </c:pt>
                <c:pt idx="3">
                  <c:v>343</c:v>
                </c:pt>
                <c:pt idx="4">
                  <c:v>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355-49B9-A4A2-670AF596FA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35"/>
        <c:axId val="985872384"/>
        <c:axId val="985877376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'2019'!$A$5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noFill/>
                  <a:ln w="25400" cap="flat" cmpd="sng" algn="ctr">
                    <a:solidFill>
                      <a:schemeClr val="accent4"/>
                    </a:solidFill>
                    <a:miter lim="800000"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'2019'!$B$1:$F$1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2019</c:v>
                      </c:pt>
                      <c:pt idx="1">
                        <c:v>2020</c:v>
                      </c:pt>
                      <c:pt idx="2">
                        <c:v>2021</c:v>
                      </c:pt>
                      <c:pt idx="3">
                        <c:v>2022</c:v>
                      </c:pt>
                      <c:pt idx="4">
                        <c:v>2023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'2019'!$B$5:$F$5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6-2355-49B9-A4A2-670AF596FA1C}"/>
                  </c:ext>
                </c:extLst>
              </c15:ser>
            </c15:filteredBarSeries>
          </c:ext>
        </c:extLst>
      </c:barChart>
      <c:catAx>
        <c:axId val="98587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985877376"/>
        <c:crosses val="autoZero"/>
        <c:auto val="1"/>
        <c:lblAlgn val="ctr"/>
        <c:lblOffset val="100"/>
        <c:noMultiLvlLbl val="0"/>
      </c:catAx>
      <c:valAx>
        <c:axId val="9858773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985872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cap="none" spc="50" normalizeH="0" baseline="0">
                <a:solidFill>
                  <a:sysClr val="windowText" lastClr="000000"/>
                </a:solidFill>
                <a:latin typeface="Arial Nova" panose="020B0504020202020204" pitchFamily="34" charset="0"/>
                <a:ea typeface="+mj-ea"/>
                <a:cs typeface="+mj-cs"/>
              </a:defRPr>
            </a:pPr>
            <a:r>
              <a:rPr lang="sq-AL" sz="1200" i="1">
                <a:solidFill>
                  <a:sysClr val="windowText" lastClr="000000"/>
                </a:solidFill>
                <a:latin typeface="Arial Nova" panose="020B0504020202020204" pitchFamily="34" charset="0"/>
              </a:rPr>
              <a:t>Mospërmbushja</a:t>
            </a:r>
            <a:r>
              <a:rPr lang="sq-AL" sz="1200" i="1" baseline="0">
                <a:solidFill>
                  <a:sysClr val="windowText" lastClr="000000"/>
                </a:solidFill>
                <a:latin typeface="Arial Nova" panose="020B0504020202020204" pitchFamily="34" charset="0"/>
              </a:rPr>
              <a:t> e detyrimit ligjor</a:t>
            </a:r>
            <a:endParaRPr lang="mk-MK" sz="1200" i="1">
              <a:solidFill>
                <a:sysClr val="windowText" lastClr="000000"/>
              </a:solidFill>
              <a:latin typeface="Arial Nova" panose="020B05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1" u="none" strike="noStrike" kern="1200" cap="none" spc="50" normalizeH="0" baseline="0">
              <a:solidFill>
                <a:sysClr val="windowText" lastClr="000000"/>
              </a:solidFill>
              <a:latin typeface="Arial Nova" panose="020B0504020202020204" pitchFamily="34" charset="0"/>
              <a:ea typeface="+mj-ea"/>
              <a:cs typeface="+mj-cs"/>
            </a:defRPr>
          </a:pPr>
          <a:endParaRPr lang="sq-A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не ја испочитувале законската обврска</c:v>
                </c:pt>
              </c:strCache>
            </c:strRef>
          </c:tx>
          <c:spPr>
            <a:ln w="19050" cap="rnd">
              <a:solidFill>
                <a:schemeClr val="accent1">
                  <a:alpha val="6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lt1"/>
              </a:solidFill>
              <a:ln w="38100">
                <a:solidFill>
                  <a:schemeClr val="accent1">
                    <a:alpha val="60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xVal>
            <c:numRef>
              <c:f>Sheet4!$A$2:$A$6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xVal>
          <c:yVal>
            <c:numRef>
              <c:f>Sheet4!$B$2:$B$6</c:f>
              <c:numCache>
                <c:formatCode>General</c:formatCode>
                <c:ptCount val="5"/>
                <c:pt idx="0">
                  <c:v>210</c:v>
                </c:pt>
                <c:pt idx="1">
                  <c:v>299</c:v>
                </c:pt>
                <c:pt idx="2">
                  <c:v>111</c:v>
                </c:pt>
                <c:pt idx="3">
                  <c:v>45</c:v>
                </c:pt>
                <c:pt idx="4">
                  <c:v>55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F82-4071-9CBB-A55DFF50C55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72374911"/>
        <c:axId val="72388223"/>
      </c:scatterChart>
      <c:valAx>
        <c:axId val="72374911"/>
        <c:scaling>
          <c:orientation val="minMax"/>
          <c:max val="2023"/>
          <c:min val="201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>
                <a:lumMod val="25000"/>
                <a:lumOff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72388223"/>
        <c:crosses val="autoZero"/>
        <c:crossBetween val="midCat"/>
        <c:majorUnit val="1"/>
      </c:valAx>
      <c:valAx>
        <c:axId val="7238822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7237491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none" spc="5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q-AL" sz="1000" b="1">
                <a:solidFill>
                  <a:sysClr val="windowText" lastClr="000000"/>
                </a:solidFill>
              </a:rPr>
              <a:t>Numri i ankesave të dorëzuara në Agjenci</a:t>
            </a:r>
            <a:r>
              <a:rPr lang="sq-AL" sz="1000" b="1" baseline="0">
                <a:solidFill>
                  <a:sysClr val="windowText" lastClr="000000"/>
                </a:solidFill>
              </a:rPr>
              <a:t> në periudhën </a:t>
            </a:r>
            <a:r>
              <a:rPr lang="mk-MK" sz="1000" b="1">
                <a:solidFill>
                  <a:sysClr val="windowText" lastClr="000000"/>
                </a:solidFill>
              </a:rPr>
              <a:t>2019-2023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none" spc="5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Sheet3!$B$20</c:f>
              <c:strCache>
                <c:ptCount val="1"/>
                <c:pt idx="0">
                  <c:v>број на жалби</c:v>
                </c:pt>
              </c:strCache>
            </c:strRef>
          </c:tx>
          <c:spPr>
            <a:noFill/>
            <a:ln w="25400" cap="flat" cmpd="sng" algn="ctr">
              <a:solidFill>
                <a:srgbClr val="92D050"/>
              </a:solidFill>
              <a:miter lim="800000"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Sheet3!$A$21:$A$25</c:f>
              <c:numCache>
                <c:formatCode>General</c:formatCode>
                <c:ptCount val="5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numCache>
            </c:numRef>
          </c:cat>
          <c:val>
            <c:numRef>
              <c:f>Sheet3!$B$21:$B$25</c:f>
              <c:numCache>
                <c:formatCode>General</c:formatCode>
                <c:ptCount val="5"/>
                <c:pt idx="0">
                  <c:v>755</c:v>
                </c:pt>
                <c:pt idx="1">
                  <c:v>752</c:v>
                </c:pt>
                <c:pt idx="2">
                  <c:v>798</c:v>
                </c:pt>
                <c:pt idx="3">
                  <c:v>343</c:v>
                </c:pt>
                <c:pt idx="4">
                  <c:v>453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33-4896-8CF2-E18617E315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35"/>
        <c:axId val="1899172512"/>
        <c:axId val="1899172096"/>
      </c:barChart>
      <c:catAx>
        <c:axId val="189917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899172096"/>
        <c:crosses val="autoZero"/>
        <c:auto val="1"/>
        <c:lblAlgn val="ctr"/>
        <c:lblOffset val="100"/>
        <c:noMultiLvlLbl val="0"/>
      </c:catAx>
      <c:valAx>
        <c:axId val="18991720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899172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Arial Nova" panose="020B0504020202020204" pitchFamily="34" charset="0"/>
                <a:ea typeface="+mn-ea"/>
                <a:cs typeface="+mn-cs"/>
              </a:defRPr>
            </a:pPr>
            <a:r>
              <a:rPr lang="sq-AL"/>
              <a:t>Komuna</a:t>
            </a:r>
            <a:endParaRPr lang="mk-MK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1" u="none" strike="noStrike" kern="1200" spc="0" baseline="0">
              <a:solidFill>
                <a:sysClr val="windowText" lastClr="000000"/>
              </a:solidFill>
              <a:latin typeface="Arial Nova" panose="020B0504020202020204" pitchFamily="34" charset="0"/>
              <a:ea typeface="+mn-ea"/>
              <a:cs typeface="+mn-cs"/>
            </a:defRPr>
          </a:pPr>
          <a:endParaRPr lang="sq-AL"/>
        </a:p>
      </c:txPr>
    </c:title>
    <c:autoTitleDeleted val="0"/>
    <c:plotArea>
      <c:layout>
        <c:manualLayout>
          <c:layoutTarget val="inner"/>
          <c:xMode val="edge"/>
          <c:yMode val="edge"/>
          <c:x val="7.9997421457213017E-2"/>
          <c:y val="0.16245370370370371"/>
          <c:w val="0.86922023371313895"/>
          <c:h val="0.72088764946048411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Sheet9!$B$1</c:f>
              <c:strCache>
                <c:ptCount val="1"/>
                <c:pt idx="0">
                  <c:v>Општини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Sheet9!$A$2:$A$6</c:f>
              <c:numCache>
                <c:formatCode>General</c:formatCode>
                <c:ptCount val="5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</c:numCache>
            </c:numRef>
          </c:xVal>
          <c:yVal>
            <c:numRef>
              <c:f>Sheet9!$B$2:$B$6</c:f>
              <c:numCache>
                <c:formatCode>General</c:formatCode>
                <c:ptCount val="5"/>
                <c:pt idx="0">
                  <c:v>11</c:v>
                </c:pt>
                <c:pt idx="1">
                  <c:v>25</c:v>
                </c:pt>
                <c:pt idx="2">
                  <c:v>37</c:v>
                </c:pt>
                <c:pt idx="3">
                  <c:v>42</c:v>
                </c:pt>
                <c:pt idx="4">
                  <c:v>20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5D2E-4E05-909E-C1E72DF07B33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1912869935"/>
        <c:axId val="1912877007"/>
      </c:scatterChart>
      <c:valAx>
        <c:axId val="1912869935"/>
        <c:scaling>
          <c:orientation val="minMax"/>
          <c:max val="2023"/>
          <c:min val="201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912877007"/>
        <c:crosses val="autoZero"/>
        <c:crossBetween val="midCat"/>
        <c:majorUnit val="1"/>
      </c:valAx>
      <c:valAx>
        <c:axId val="1912877007"/>
        <c:scaling>
          <c:orientation val="minMax"/>
          <c:max val="50"/>
          <c:min val="5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1286993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sq-A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sq-AL" sz="1200" b="0" i="1">
                <a:latin typeface="Arial Nova" panose="020B0504020202020204" pitchFamily="34" charset="0"/>
              </a:rPr>
              <a:t>Ndërmarrje dhe ente publike</a:t>
            </a:r>
            <a:endParaRPr lang="mk-MK" sz="1200" b="0" i="1">
              <a:latin typeface="Arial Nova" panose="020B0504020202020204" pitchFamily="34" charset="0"/>
            </a:endParaRPr>
          </a:p>
        </c:rich>
      </c:tx>
      <c:layout>
        <c:manualLayout>
          <c:xMode val="edge"/>
          <c:yMode val="edge"/>
          <c:x val="0.16234877984035548"/>
          <c:y val="4.16665158234531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plotArea>
      <c:layout>
        <c:manualLayout>
          <c:layoutTarget val="inner"/>
          <c:xMode val="edge"/>
          <c:yMode val="edge"/>
          <c:x val="9.2935366115525012E-2"/>
          <c:y val="0.35140485312899106"/>
          <c:w val="0.81412926776895"/>
          <c:h val="0.48265252762944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Sheet7!$B$1</c:f>
              <c:strCache>
                <c:ptCount val="1"/>
                <c:pt idx="0">
                  <c:v>Јавни претпријатија и установи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Sheet7!$A$2:$A$6</c:f>
              <c:numCache>
                <c:formatCode>General</c:formatCode>
                <c:ptCount val="5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</c:numCache>
            </c:numRef>
          </c:xVal>
          <c:yVal>
            <c:numRef>
              <c:f>Sheet7!$B$2:$B$6</c:f>
              <c:numCache>
                <c:formatCode>General</c:formatCode>
                <c:ptCount val="5"/>
                <c:pt idx="0">
                  <c:v>41</c:v>
                </c:pt>
                <c:pt idx="1">
                  <c:v>18</c:v>
                </c:pt>
                <c:pt idx="2">
                  <c:v>35</c:v>
                </c:pt>
                <c:pt idx="3">
                  <c:v>60</c:v>
                </c:pt>
                <c:pt idx="4">
                  <c:v>43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66C-4FB5-95D3-5274C19148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48983423"/>
        <c:axId val="1846535695"/>
      </c:scatterChart>
      <c:valAx>
        <c:axId val="1848983423"/>
        <c:scaling>
          <c:orientation val="minMax"/>
          <c:max val="2023"/>
          <c:min val="201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846535695"/>
        <c:crosses val="autoZero"/>
        <c:crossBetween val="midCat"/>
        <c:majorUnit val="1"/>
      </c:valAx>
      <c:valAx>
        <c:axId val="1846535695"/>
        <c:scaling>
          <c:orientation val="minMax"/>
          <c:min val="5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84898342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Arial Nova" panose="020B05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sq-AL"/>
              <a:t>Persona juridik dhe fizik</a:t>
            </a:r>
            <a:endParaRPr lang="mk-MK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1" u="none" strike="noStrike" kern="1200" spc="0" baseline="0">
              <a:solidFill>
                <a:sysClr val="windowText" lastClr="000000"/>
              </a:solidFill>
              <a:latin typeface="Arial Nova" panose="020B0504020202020204" pitchFamily="34" charset="0"/>
              <a:ea typeface="+mn-ea"/>
              <a:cs typeface="Arial" panose="020B0604020202020204" pitchFamily="34" charset="0"/>
            </a:defRPr>
          </a:pPr>
          <a:endParaRPr lang="sq-AL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Sheet8!$B$1</c:f>
              <c:strCache>
                <c:ptCount val="1"/>
                <c:pt idx="0">
                  <c:v>Правни и физички лица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Sheet8!$A$2:$A$6</c:f>
              <c:numCache>
                <c:formatCode>General</c:formatCode>
                <c:ptCount val="5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</c:numCache>
            </c:numRef>
          </c:xVal>
          <c:yVal>
            <c:numRef>
              <c:f>Sheet8!$B$2:$B$6</c:f>
              <c:numCache>
                <c:formatCode>General</c:formatCode>
                <c:ptCount val="5"/>
                <c:pt idx="0">
                  <c:v>11</c:v>
                </c:pt>
                <c:pt idx="1">
                  <c:v>25</c:v>
                </c:pt>
                <c:pt idx="2">
                  <c:v>37</c:v>
                </c:pt>
                <c:pt idx="3">
                  <c:v>42</c:v>
                </c:pt>
                <c:pt idx="4">
                  <c:v>20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273-40EC-AADC-D0CBD53A07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25730239"/>
        <c:axId val="2025741471"/>
      </c:scatterChart>
      <c:valAx>
        <c:axId val="2025730239"/>
        <c:scaling>
          <c:orientation val="minMax"/>
          <c:max val="2023"/>
          <c:min val="201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025741471"/>
        <c:crosses val="autoZero"/>
        <c:crossBetween val="midCat"/>
        <c:majorUnit val="1"/>
      </c:valAx>
      <c:valAx>
        <c:axId val="2025741471"/>
        <c:scaling>
          <c:orientation val="minMax"/>
          <c:max val="50"/>
          <c:min val="5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025730239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Arial Nova" panose="020B0504020202020204" pitchFamily="34" charset="0"/>
                <a:ea typeface="+mn-ea"/>
                <a:cs typeface="+mn-cs"/>
              </a:defRPr>
            </a:pPr>
            <a:r>
              <a:rPr lang="sq-AL"/>
              <a:t>Institucione arsimore</a:t>
            </a:r>
            <a:endParaRPr lang="mk-MK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1" u="none" strike="noStrike" kern="1200" spc="0" baseline="0">
              <a:solidFill>
                <a:sysClr val="windowText" lastClr="000000"/>
              </a:solidFill>
              <a:latin typeface="Arial Nova" panose="020B0504020202020204" pitchFamily="34" charset="0"/>
              <a:ea typeface="+mn-ea"/>
              <a:cs typeface="+mn-cs"/>
            </a:defRPr>
          </a:pPr>
          <a:endParaRPr lang="sq-AL"/>
        </a:p>
      </c:txPr>
    </c:title>
    <c:autoTitleDeleted val="0"/>
    <c:plotArea>
      <c:layout>
        <c:manualLayout>
          <c:layoutTarget val="inner"/>
          <c:xMode val="edge"/>
          <c:yMode val="edge"/>
          <c:x val="9.6594925634295711E-2"/>
          <c:y val="0.27751022031336992"/>
          <c:w val="0.85862729658792647"/>
          <c:h val="0.5754330708661417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Sheet6!$B$1</c:f>
              <c:strCache>
                <c:ptCount val="1"/>
                <c:pt idx="0">
                  <c:v>Образовни институции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Sheet6!$A$2:$A$6</c:f>
              <c:numCache>
                <c:formatCode>General</c:formatCode>
                <c:ptCount val="5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</c:numCache>
            </c:numRef>
          </c:xVal>
          <c:yVal>
            <c:numRef>
              <c:f>Sheet6!$B$2:$B$6</c:f>
              <c:numCache>
                <c:formatCode>General</c:formatCode>
                <c:ptCount val="5"/>
                <c:pt idx="0">
                  <c:v>15</c:v>
                </c:pt>
                <c:pt idx="1">
                  <c:v>13</c:v>
                </c:pt>
                <c:pt idx="2">
                  <c:v>15</c:v>
                </c:pt>
                <c:pt idx="3">
                  <c:v>14</c:v>
                </c:pt>
                <c:pt idx="4">
                  <c:v>15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3A3-4BE8-BD8E-D00E7FB008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912413663"/>
        <c:axId val="1912407423"/>
      </c:scatterChart>
      <c:valAx>
        <c:axId val="1912413663"/>
        <c:scaling>
          <c:orientation val="minMax"/>
          <c:max val="2023"/>
          <c:min val="201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912407423"/>
        <c:crosses val="autoZero"/>
        <c:crossBetween val="midCat"/>
        <c:majorUnit val="1"/>
      </c:valAx>
      <c:valAx>
        <c:axId val="1912407423"/>
        <c:scaling>
          <c:orientation val="minMax"/>
          <c:max val="20"/>
          <c:min val="5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91241366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1" u="none" strike="noStrike" kern="1200" spc="0" baseline="0">
                <a:solidFill>
                  <a:sysClr val="windowText" lastClr="000000"/>
                </a:solidFill>
                <a:latin typeface="Arial Nova" panose="020B0504020202020204" pitchFamily="34" charset="0"/>
                <a:ea typeface="+mn-ea"/>
                <a:cs typeface="+mn-cs"/>
              </a:defRPr>
            </a:pPr>
            <a:r>
              <a:rPr lang="sq-AL" sz="1200" b="0" i="1" baseline="0">
                <a:solidFill>
                  <a:sysClr val="windowText" lastClr="000000"/>
                </a:solidFill>
                <a:latin typeface="Arial Nova" panose="020B0504020202020204" pitchFamily="34" charset="0"/>
              </a:rPr>
              <a:t>Organet e administratës shtetërore</a:t>
            </a:r>
            <a:endParaRPr lang="en-US" sz="1200" b="0" i="1">
              <a:solidFill>
                <a:sysClr val="windowText" lastClr="000000"/>
              </a:solidFill>
              <a:latin typeface="Arial Nova" panose="020B0504020202020204" pitchFamily="34" charset="0"/>
            </a:endParaRPr>
          </a:p>
        </c:rich>
      </c:tx>
      <c:layout>
        <c:manualLayout>
          <c:xMode val="edge"/>
          <c:yMode val="edge"/>
          <c:x val="9.5667883785820168E-2"/>
          <c:y val="6.14275654567569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1" u="none" strike="noStrike" kern="1200" spc="0" baseline="0">
              <a:solidFill>
                <a:sysClr val="windowText" lastClr="000000"/>
              </a:solidFill>
              <a:latin typeface="Arial Nova" panose="020B0504020202020204" pitchFamily="34" charset="0"/>
              <a:ea typeface="+mn-ea"/>
              <a:cs typeface="+mn-cs"/>
            </a:defRPr>
          </a:pPr>
          <a:endParaRPr lang="sq-AL"/>
        </a:p>
      </c:txPr>
    </c:title>
    <c:autoTitleDeleted val="0"/>
    <c:plotArea>
      <c:layout>
        <c:manualLayout>
          <c:layoutTarget val="inner"/>
          <c:xMode val="edge"/>
          <c:yMode val="edge"/>
          <c:x val="9.1019978969505783E-2"/>
          <c:y val="0.31117541758893036"/>
          <c:w val="0.81796004206098838"/>
          <c:h val="0.48923461180255701"/>
        </c:manualLayout>
      </c:layout>
      <c:scatterChart>
        <c:scatterStyle val="lineMarker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Државни органи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2"/>
              <c:layout>
                <c:manualLayout>
                  <c:x val="-7.4111461619348132E-2"/>
                  <c:y val="-0.1023422475416379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1C-4ABF-AB9E-4BD541F2C40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Sheet2!$A$2:$A$6</c:f>
              <c:numCache>
                <c:formatCode>General</c:formatCode>
                <c:ptCount val="5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</c:numCache>
            </c:numRef>
          </c:xVal>
          <c:yVal>
            <c:numRef>
              <c:f>Sheet2!$B$2:$B$6</c:f>
              <c:numCache>
                <c:formatCode>General</c:formatCode>
                <c:ptCount val="5"/>
                <c:pt idx="0">
                  <c:v>183</c:v>
                </c:pt>
                <c:pt idx="1">
                  <c:v>151</c:v>
                </c:pt>
                <c:pt idx="2">
                  <c:v>458</c:v>
                </c:pt>
                <c:pt idx="3">
                  <c:v>231</c:v>
                </c:pt>
                <c:pt idx="4">
                  <c:v>130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CBA-480D-897F-1F784A656C5E}"/>
            </c:ext>
          </c:extLst>
        </c:ser>
        <c:ser>
          <c:idx val="1"/>
          <c:order val="1"/>
          <c:tx>
            <c:strRef>
              <c:f>Sheet2!$C$1</c:f>
              <c:strCache>
                <c:ptCount val="1"/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Sheet2!$A$2:$A$6</c:f>
              <c:numCache>
                <c:formatCode>General</c:formatCode>
                <c:ptCount val="5"/>
                <c:pt idx="0">
                  <c:v>2023</c:v>
                </c:pt>
                <c:pt idx="1">
                  <c:v>2022</c:v>
                </c:pt>
                <c:pt idx="2">
                  <c:v>2021</c:v>
                </c:pt>
                <c:pt idx="3">
                  <c:v>2020</c:v>
                </c:pt>
                <c:pt idx="4">
                  <c:v>2019</c:v>
                </c:pt>
              </c:numCache>
            </c:numRef>
          </c:xVal>
          <c:yVal>
            <c:numRef>
              <c:f>Sheet2!$C$2:$C$6</c:f>
              <c:numCache>
                <c:formatCode>General</c:formatCode>
                <c:ptCount val="5"/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CBA-480D-897F-1F784A656C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12882831"/>
        <c:axId val="1912884911"/>
      </c:scatterChart>
      <c:valAx>
        <c:axId val="1912882831"/>
        <c:scaling>
          <c:orientation val="minMax"/>
          <c:max val="2023"/>
          <c:min val="2019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912884911"/>
        <c:crosses val="autoZero"/>
        <c:crossBetween val="midCat"/>
        <c:majorUnit val="1"/>
      </c:valAx>
      <c:valAx>
        <c:axId val="1912884911"/>
        <c:scaling>
          <c:orientation val="minMax"/>
          <c:min val="5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crossAx val="1912882831"/>
        <c:crossesAt val="2018.5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4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>
        <a:solidFill>
          <a:schemeClr val="tx1">
            <a:lumMod val="15000"/>
            <a:lumOff val="85000"/>
          </a:schemeClr>
        </a:solidFill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>
            <a:alpha val="6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38100">
        <a:solidFill>
          <a:schemeClr val="phClr">
            <a:alpha val="60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>
        <a:solidFill>
          <a:schemeClr val="tx1">
            <a:lumMod val="15000"/>
            <a:lumOff val="85000"/>
          </a:schemeClr>
        </a:solidFill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>
        <a:solidFill>
          <a:schemeClr val="tx1">
            <a:lumMod val="25000"/>
            <a:lumOff val="75000"/>
          </a:schemeClr>
        </a:solidFill>
      </a:ln>
    </cs:spPr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1517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</dc:creator>
  <cp:keywords/>
  <dc:description/>
  <cp:lastModifiedBy>Valon Mustafa</cp:lastModifiedBy>
  <cp:revision>2</cp:revision>
  <cp:lastPrinted>2024-07-11T09:35:00Z</cp:lastPrinted>
  <dcterms:created xsi:type="dcterms:W3CDTF">2024-08-01T14:17:00Z</dcterms:created>
  <dcterms:modified xsi:type="dcterms:W3CDTF">2024-08-01T14:17:00Z</dcterms:modified>
</cp:coreProperties>
</file>