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D6" w:rsidRDefault="00E77D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F1B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AE4204">
        <w:rPr>
          <w:rFonts w:ascii="StobiSerif Regular" w:hAnsi="StobiSerif Regular"/>
          <w:sz w:val="22"/>
          <w:szCs w:val="22"/>
          <w:lang w:val="mk-MK"/>
        </w:rPr>
        <w:t>директор на МЦМС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B067B1">
        <w:rPr>
          <w:rFonts w:ascii="StobiSerif Regular" w:hAnsi="StobiSerif Regular"/>
          <w:sz w:val="22"/>
          <w:szCs w:val="22"/>
        </w:rPr>
        <w:t xml:space="preserve"> 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Општина </w:t>
      </w:r>
      <w:r w:rsidR="00AE4204">
        <w:rPr>
          <w:rFonts w:ascii="StobiSerif Regular" w:hAnsi="StobiSerif Regular"/>
          <w:sz w:val="22"/>
          <w:szCs w:val="22"/>
          <w:lang w:val="mk-MK"/>
        </w:rPr>
        <w:t>Гостивар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AE4204">
        <w:rPr>
          <w:rFonts w:ascii="StobiSerif Regular" w:hAnsi="StobiSerif Regular"/>
          <w:sz w:val="22"/>
          <w:szCs w:val="22"/>
          <w:lang w:val="mk-MK"/>
        </w:rPr>
        <w:t>14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B24344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24344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B067B1" w:rsidP="002369CD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C3081D">
      <w:pPr>
        <w:ind w:firstLine="45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, поднесена 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Кржаловски, директор на МЦМС,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AE4204">
        <w:rPr>
          <w:rFonts w:ascii="StobiSerif Regular" w:hAnsi="StobiSerif Regular"/>
          <w:sz w:val="22"/>
          <w:szCs w:val="22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Општина Гостивар</w:t>
      </w:r>
      <w:r w:rsidR="00B067B1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443266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73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AE4204">
        <w:rPr>
          <w:rFonts w:ascii="StobiSerif Regular" w:hAnsi="StobiSerif Regular"/>
          <w:sz w:val="22"/>
          <w:szCs w:val="22"/>
          <w:lang w:val="mk-MK"/>
        </w:rPr>
        <w:t>11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AE4204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724895" w:rsidRDefault="00B067B1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E77DD6" w:rsidRPr="008E48D9" w:rsidRDefault="00E77DD6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Default="00AE4204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1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3.05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920436"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Општина </w:t>
      </w:r>
      <w:r>
        <w:rPr>
          <w:rFonts w:ascii="StobiSerif Regular" w:hAnsi="StobiSerif Regular"/>
          <w:sz w:val="22"/>
          <w:szCs w:val="22"/>
          <w:lang w:val="mk-MK"/>
        </w:rPr>
        <w:t>Гостивар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920436"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920436"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 w:rsidR="00920436"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920436"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AE4204" w:rsidRDefault="00965529" w:rsidP="00AE420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B243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Поединечно доделени средства преку Општина Гостивар до крајните корисници од буџетска ставка 463 – Трансфери до невладини организации, во 2023г. (Табела1).</w:t>
      </w:r>
    </w:p>
    <w:p w:rsidR="00143655" w:rsidRPr="00920436" w:rsidRDefault="00AE4204" w:rsidP="00143655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2. Поединечно доделени средства преку Општина Гостивар до крајните корисници – невладини организации од друга буџетска ставка (различна од 463 – Трансфери до невладини организации), во 2023г. (по примерот на Табела 1)</w:t>
      </w:r>
      <w:r w:rsidR="00143655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143655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73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1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E77DD6" w:rsidRPr="008E48D9" w:rsidRDefault="00B075AC" w:rsidP="00BB1B5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E77DD6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73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3</w:t>
      </w:r>
      <w:r w:rsidR="00BB1B5C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B1B5C">
        <w:rPr>
          <w:rFonts w:ascii="StobiSerif Regular" w:hAnsi="StobiSerif Regular"/>
          <w:sz w:val="22"/>
          <w:szCs w:val="22"/>
          <w:lang w:val="mk-MK"/>
        </w:rPr>
        <w:t>.</w:t>
      </w:r>
      <w:r w:rsidRPr="008E48D9">
        <w:rPr>
          <w:rFonts w:ascii="StobiSerif Regular" w:hAnsi="StobiSerif Regular"/>
          <w:sz w:val="22"/>
          <w:szCs w:val="22"/>
          <w:lang w:val="mk-MK"/>
        </w:rPr>
        <w:t>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79318F" w:rsidRDefault="00AE4204" w:rsidP="00C3081D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13</w:t>
      </w:r>
      <w:r w:rsidR="00E77DD6">
        <w:rPr>
          <w:rFonts w:ascii="StobiSerif Regular" w:hAnsi="StobiSerif Regular"/>
          <w:sz w:val="22"/>
          <w:szCs w:val="22"/>
          <w:lang w:val="mk-MK"/>
        </w:rPr>
        <w:t>.0</w:t>
      </w:r>
      <w:r>
        <w:rPr>
          <w:rFonts w:ascii="StobiSerif Regular" w:hAnsi="StobiSerif Regular"/>
          <w:sz w:val="22"/>
          <w:szCs w:val="22"/>
          <w:lang w:val="mk-MK"/>
        </w:rPr>
        <w:t>6</w:t>
      </w:r>
      <w:r w:rsidR="00C3081D">
        <w:rPr>
          <w:rFonts w:ascii="StobiSerif Regular" w:hAnsi="StobiSerif Regular"/>
          <w:sz w:val="22"/>
          <w:szCs w:val="22"/>
          <w:lang w:val="mk-MK"/>
        </w:rPr>
        <w:t>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и</w:t>
      </w:r>
      <w:r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бр.08-</w:t>
      </w:r>
      <w:r>
        <w:rPr>
          <w:rFonts w:ascii="StobiSerif Regular" w:hAnsi="StobiSerif Regular"/>
          <w:sz w:val="22"/>
          <w:szCs w:val="22"/>
          <w:lang w:val="mk-MK"/>
        </w:rPr>
        <w:t>173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>...стигна одговор и од Општина Гостивар</w:t>
      </w:r>
      <w:r w:rsidR="00CE2022">
        <w:rPr>
          <w:rFonts w:ascii="StobiSerif Regular" w:hAnsi="StobiSerif Regular"/>
          <w:sz w:val="22"/>
          <w:szCs w:val="22"/>
          <w:lang w:val="mk-MK"/>
        </w:rPr>
        <w:t>.</w:t>
      </w:r>
      <w:r w:rsidR="0001695F">
        <w:rPr>
          <w:rFonts w:ascii="StobiSerif Regular" w:hAnsi="StobiSerif Regular"/>
          <w:sz w:val="22"/>
          <w:szCs w:val="22"/>
          <w:lang w:val="mk-MK"/>
        </w:rPr>
        <w:t>“</w:t>
      </w: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6C7543" w:rsidRDefault="006C7543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AE4204" w:rsidRDefault="00AE4204" w:rsidP="00C3081D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BB1B5C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  <w:proofErr w:type="spellStart"/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D5036" w:rsidRPr="00280A76" w:rsidRDefault="00BB1B5C" w:rsidP="00280A7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tobiSerif Regular" w:hAnsi="StobiSerif Regular"/>
          <w:b/>
          <w:sz w:val="22"/>
          <w:szCs w:val="22"/>
        </w:rPr>
        <w:t>Пламе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>н</w:t>
      </w:r>
      <w:proofErr w:type="spellStart"/>
      <w:r w:rsidR="00C3081D">
        <w:rPr>
          <w:rFonts w:ascii="StobiSerif Regular" w:hAnsi="StobiSerif Regular"/>
          <w:b/>
          <w:sz w:val="22"/>
          <w:szCs w:val="22"/>
        </w:rPr>
        <w:t>ка</w:t>
      </w:r>
      <w:proofErr w:type="spellEnd"/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  <w:proofErr w:type="gramEnd"/>
    </w:p>
    <w:p w:rsidR="001D5036" w:rsidRDefault="001D5036" w:rsidP="005F6062">
      <w:pPr>
        <w:pStyle w:val="NoSpacing"/>
        <w:ind w:left="-90" w:firstLine="0"/>
        <w:jc w:val="left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326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1695F"/>
    <w:rsid w:val="00033C24"/>
    <w:rsid w:val="00056DE8"/>
    <w:rsid w:val="00080283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3655"/>
    <w:rsid w:val="001477C1"/>
    <w:rsid w:val="001504F0"/>
    <w:rsid w:val="00152C34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0A76"/>
    <w:rsid w:val="00284723"/>
    <w:rsid w:val="002848C2"/>
    <w:rsid w:val="002934B4"/>
    <w:rsid w:val="002A0E23"/>
    <w:rsid w:val="002A3DF7"/>
    <w:rsid w:val="002B2D38"/>
    <w:rsid w:val="002D19EA"/>
    <w:rsid w:val="002D4FFC"/>
    <w:rsid w:val="002E04D3"/>
    <w:rsid w:val="002F1B2E"/>
    <w:rsid w:val="002F1DEA"/>
    <w:rsid w:val="002F7326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43266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2BB5"/>
    <w:rsid w:val="005962EC"/>
    <w:rsid w:val="005A4A83"/>
    <w:rsid w:val="005B4250"/>
    <w:rsid w:val="005B6AA4"/>
    <w:rsid w:val="005C201F"/>
    <w:rsid w:val="005D01B5"/>
    <w:rsid w:val="005D1DE3"/>
    <w:rsid w:val="005D662A"/>
    <w:rsid w:val="005E122B"/>
    <w:rsid w:val="005E681F"/>
    <w:rsid w:val="005F6062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6FA0"/>
    <w:rsid w:val="006B71F5"/>
    <w:rsid w:val="006C22A7"/>
    <w:rsid w:val="006C40DC"/>
    <w:rsid w:val="006C7180"/>
    <w:rsid w:val="006C7543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3DE9"/>
    <w:rsid w:val="00A240CF"/>
    <w:rsid w:val="00A27927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B52EB"/>
    <w:rsid w:val="00AB6B62"/>
    <w:rsid w:val="00AC2C3D"/>
    <w:rsid w:val="00AC3739"/>
    <w:rsid w:val="00AC4559"/>
    <w:rsid w:val="00AD2E33"/>
    <w:rsid w:val="00AE4204"/>
    <w:rsid w:val="00B067B1"/>
    <w:rsid w:val="00B075AC"/>
    <w:rsid w:val="00B232B4"/>
    <w:rsid w:val="00B24344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1B5C"/>
    <w:rsid w:val="00BB6C5E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75E56"/>
    <w:rsid w:val="00C96269"/>
    <w:rsid w:val="00CB073B"/>
    <w:rsid w:val="00CB2F1A"/>
    <w:rsid w:val="00CC0373"/>
    <w:rsid w:val="00CC1AF0"/>
    <w:rsid w:val="00CC218B"/>
    <w:rsid w:val="00CD6A73"/>
    <w:rsid w:val="00CE0F38"/>
    <w:rsid w:val="00CE2022"/>
    <w:rsid w:val="00CF2820"/>
    <w:rsid w:val="00CF7A65"/>
    <w:rsid w:val="00D25F86"/>
    <w:rsid w:val="00D2701C"/>
    <w:rsid w:val="00D30728"/>
    <w:rsid w:val="00D321BE"/>
    <w:rsid w:val="00D37A61"/>
    <w:rsid w:val="00D46DE6"/>
    <w:rsid w:val="00D61255"/>
    <w:rsid w:val="00D634A7"/>
    <w:rsid w:val="00D73703"/>
    <w:rsid w:val="00D7763A"/>
    <w:rsid w:val="00DA3085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77DD6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F03574"/>
    <w:rsid w:val="00F04F68"/>
    <w:rsid w:val="00F137DD"/>
    <w:rsid w:val="00F20D54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524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694E"/>
  <w15:docId w15:val="{550519A1-8BE1-4D44-A75E-51699FEE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2024-06-14T08:09:00Z</cp:lastPrinted>
  <dcterms:created xsi:type="dcterms:W3CDTF">2024-06-14T07:26:00Z</dcterms:created>
  <dcterms:modified xsi:type="dcterms:W3CDTF">2024-06-14T09:31:00Z</dcterms:modified>
</cp:coreProperties>
</file>