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Јавна изјава XV издание на Меѓународната конференција на комесари за информации „Транспарентност и дигитална ера: улогата на комесарот за информации и зајакнување на граѓаните“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Ние, комесарите за информации, членови на Меѓународната конференција на комесари за информации (МККИ), се состанавме на 5 јуни 2024 година, во рамките на 15-то издание на нашата годишна конференција, одржана во виртуелен режим и во главниот град на Албанија, Тирана, ја даваме следната изјава, потсетувајќи дека Повелбата од Јоханесбург го поткрепува МККИ, служејќи како камен-темелник за глобалната соработка меѓу властите-членки задолжени да ја заштитат и промовираат ПДИ.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Работејќи врз принципите на инклузивност, универзалност, транспарентност, одговорност, етика, пристапност, почит и одговорност, МККИ го олеснува градењето капацитети и размената на искуства и најдобри практики. Преку оваа мрежа, комесарите за информации ширум светот соработуваат за да обезбедат фундаменталното право на пристап до информации да се поддржува и да се унапреди за сите поединци.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Истакнувајќи дека ПДИ како основен столб на социјалното, економското и демократското владеење е нагласено со неговото инкорпорирање во различни меѓународни и регионални акти за човекови права, вклучително и истакнати договори како што се Универзалната декларација за човекови права и Повелбата за фундаментални права на Европската унија, Меѓународен пакт за граѓански и политички права, Конвенцијата на Обединетите нации за правата на детето, Конвенцијата на Обединетите нации за правата на лицата со посебни потреби, Конвенцијата на Обединетите нации против корупцијата, Африканската повелба за човекови и права на луѓето, Американската Конвенција за човекови права, Европска конвенција за човекови права, Декларација за човекови права на Асоцијацијата на нациите од Југоисточна Азија, Конвенција на Советот на Европа за пристап до официјални документи, Регионален договор за пристап до информации, учество на јавноста и правда во прашањата поврзани со животната средина на латински Америка и Карибите (Договор Есказу), меѓу другото.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Признавајќи ја Агендата за одржлив развој 2030 година, едногласно усвоена од сите земји-членки на Обединетите нации во 2015 година, која служи како колективна рамка за поттикнување на глобалниот мир и просперитет и за човештвото и за планетата, оваа агенда особено ја вклучува целта 16.10, која има за цел да обезбеди ПДИ и заштита на основните слободи, во согласност со националното законодавство и меѓународните договори, повикувајќи ги земјите да усвојат и имплементираат уставни, статутарни и/или политички гаранции за ПДИ.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Препознавајќи дека Отвореното владино партнерство (ОВП) игра важна улога во поттикнувањето на транспарентноста, отчетноста и ангажманот на граѓаните во управувањето, преку својата платформа за соработка, ОВП ги охрабрува владите да се посветат на конкретни активности насочени кон промовирање на ПДИ и подобрување на јавниот пристап до информациите што ги поседува владата. Со прифаќање на принципите на отвореност и отчетност, земјите-учеснички не само што ја зајакнуваат довербата меѓу граѓаните и нивните влади, туку и ги овластуваат поединците да пристапат до информации, да учествуваат во процесите на донесување одлуки и да бараат одговорност од властите за нивните постапки. Покрај тоа, ОВП служи како катализатор за развој на политики и практики на ПДИ, олеснувајќи го споделувањето на знаењето и учењето од колеги меѓу земјите-членки.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Имајќи ја предвид клучната улога на граѓанското општество и медиумите во промовирањето на ПДИ придонесувајќи за подобрување на транспарентноста, отчетноста и демократското владеење, нагласувајќи ја работата за застапување, следење и промоција. Нивните напори често вклучуваат овластување на маргинализираните заедници да го остварат своето право на пристап до информации и учество во процесите на донесување одлуки. Слично на тоа, медиумите играат витална улога во обезбедувањето јавен пристап до информации преку истражување и известување за владините активности, разоткривање на корупцијата и повикување на одговорност на функционерите. Новинарите дејствуваат како посредници меѓу владите и граѓаните, обезбедувајќи суштински информации за информиран јавен дискурс и донесување одлуки.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Прифаќањето на дигиталните технологии претставува невидена можност за подобрување на транспарентноста, истовремено поддржувајќи ги клучните вредности како што се приватноста на поединците и етичките размислувања. Со искористување на дигиталните платформи и алатки, владите можат да ја зголемат пристапноста до информации, да ги насочат административните процеси и да поттикнат поголем ангажман на граѓаните. Сепак, императив е да се даде приоритет на етиката и вредностите како што се заштитата на податоците, правата на приватност и сајбер-безбедноста при спроведувањето на дигиталните иницијативи.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Заштитата на чувствителните информации и обезбедувањето транспарентност за собирање, складирање и користење на податоци се од суштинско значење за одржување на јавната доверба и почитување на приватноста на поединците.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Покрај тоа, владите мора да бидат внимателни во справувањето со потенцијалните ризици од дигитално исклучување и дискриминација, обезбедувајќи дека дигиталните иновации имаат правична корист за сите сегменти на општеството. Членовите на МККИ се посветени на: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1. Промовирање на транспарентност преку застапување за имплементација на законите и политиките на ПДИ кои поттикнуваат отвореност и транспарентност во јавните власти за да се подобрат услугите, да се намалат асиметриите и да се промовира учеството на граѓаните. </w:t>
      </w:r>
    </w:p>
    <w:p w:rsidR="00000000" w:rsidDel="00000000" w:rsidP="00000000" w:rsidRDefault="00000000" w:rsidRPr="00000000" w14:paraId="00000016">
      <w:pPr>
        <w:jc w:val="both"/>
        <w:rPr/>
      </w:pPr>
      <w:r w:rsidDel="00000000" w:rsidR="00000000" w:rsidRPr="00000000">
        <w:rPr>
          <w:rtl w:val="0"/>
        </w:rPr>
        <w:t xml:space="preserve">2. Помагање да се обезбеди одговорност на владата преку надгледување на усогласеноста со легислативата на ПДИ и испитување поплаки за негирање информации или лошо управување. </w:t>
      </w:r>
    </w:p>
    <w:p w:rsidR="00000000" w:rsidDel="00000000" w:rsidP="00000000" w:rsidRDefault="00000000" w:rsidRPr="00000000" w14:paraId="00000017">
      <w:pPr>
        <w:jc w:val="both"/>
        <w:rPr/>
      </w:pPr>
      <w:r w:rsidDel="00000000" w:rsidR="00000000" w:rsidRPr="00000000">
        <w:rPr>
          <w:rtl w:val="0"/>
        </w:rPr>
        <w:t xml:space="preserve">3. Стремеж да се зајакнат граѓанските организации и медиумите активно да се вклучат во промовирањето на ПДИ на ниво на граѓани, поттикнувајќи ја културата на транспарентност и помагајќи да се овозможи одговорност на владата и на тој начин активно да соработуваат во донесувањето одлуки. </w:t>
      </w:r>
    </w:p>
    <w:p w:rsidR="00000000" w:rsidDel="00000000" w:rsidP="00000000" w:rsidRDefault="00000000" w:rsidRPr="00000000" w14:paraId="00000018">
      <w:pPr>
        <w:jc w:val="both"/>
        <w:rPr/>
      </w:pPr>
      <w:r w:rsidDel="00000000" w:rsidR="00000000" w:rsidRPr="00000000">
        <w:rPr>
          <w:rtl w:val="0"/>
        </w:rPr>
        <w:t xml:space="preserve">4. Промовирање на иновации преку препознавање на потенцијалот на дигиталните технологии за подобрување на транспарентноста, и доколку е применливо, имајќи предвид дека дигиталните иницијативи треба да ги почитуваат правата за приватност на поединците, да одржуваат пристап до информации за владиното одлучување и да ги почитуваат етичките стандарди. </w:t>
      </w:r>
    </w:p>
    <w:p w:rsidR="00000000" w:rsidDel="00000000" w:rsidP="00000000" w:rsidRDefault="00000000" w:rsidRPr="00000000" w14:paraId="00000019">
      <w:pPr>
        <w:jc w:val="both"/>
        <w:rPr/>
      </w:pPr>
      <w:r w:rsidDel="00000000" w:rsidR="00000000" w:rsidRPr="00000000">
        <w:rPr>
          <w:rtl w:val="0"/>
        </w:rPr>
        <w:t xml:space="preserve">5. Олеснување на кампањи за подигање на јавната свест за едукација на граѓаните за нивното право на пристап до информации, улогата на ПДИ во демократското владеење и важноста на транспарентноста и отчетноста. </w:t>
      </w:r>
    </w:p>
    <w:p w:rsidR="00000000" w:rsidDel="00000000" w:rsidP="00000000" w:rsidRDefault="00000000" w:rsidRPr="00000000" w14:paraId="0000001A">
      <w:pPr>
        <w:jc w:val="both"/>
        <w:rPr/>
      </w:pPr>
      <w:r w:rsidDel="00000000" w:rsidR="00000000" w:rsidRPr="00000000">
        <w:rPr>
          <w:rtl w:val="0"/>
        </w:rPr>
        <w:t xml:space="preserve">6. Вклучете ги напорите за соработка со повеќе заинтересирани страни, како што е МККИ, за размена на најдобри практики, градење капацитети и промовирање на ПДИ на глобално ниво. </w:t>
      </w:r>
    </w:p>
    <w:p w:rsidR="00000000" w:rsidDel="00000000" w:rsidP="00000000" w:rsidRDefault="00000000" w:rsidRPr="00000000" w14:paraId="0000001B">
      <w:pPr>
        <w:jc w:val="both"/>
        <w:rPr/>
      </w:pPr>
      <w:r w:rsidDel="00000000" w:rsidR="00000000" w:rsidRPr="00000000">
        <w:rPr>
          <w:rtl w:val="0"/>
        </w:rPr>
        <w:t xml:space="preserve">7. Повик до агенциите на Обединетите нации и мултилатералните организации да го интегрираат ПДИ како една од главните алатки за одговорност на нивната агенда додека се занимаваат со владите. </w:t>
      </w:r>
    </w:p>
    <w:p w:rsidR="00000000" w:rsidDel="00000000" w:rsidP="00000000" w:rsidRDefault="00000000" w:rsidRPr="00000000" w14:paraId="0000001C">
      <w:pPr>
        <w:jc w:val="both"/>
        <w:rPr/>
      </w:pPr>
      <w:r w:rsidDel="00000000" w:rsidR="00000000" w:rsidRPr="00000000">
        <w:rPr>
          <w:rtl w:val="0"/>
        </w:rPr>
        <w:t xml:space="preserve">8. Повик до УНЕСКО да организира состанок на сите влади, вклучително и информативни комисии и да се добие универзална посветеност за ПДИ од владите. </w:t>
      </w:r>
    </w:p>
    <w:p w:rsidR="00000000" w:rsidDel="00000000" w:rsidP="00000000" w:rsidRDefault="00000000" w:rsidRPr="00000000" w14:paraId="0000001D">
      <w:pPr>
        <w:jc w:val="both"/>
        <w:rPr/>
      </w:pPr>
      <w:r w:rsidDel="00000000" w:rsidR="00000000" w:rsidRPr="00000000">
        <w:rPr>
          <w:rtl w:val="0"/>
        </w:rPr>
        <w:t xml:space="preserve">9. Промовирање на транспарентноста преку принципите на дизајнирање за да се зголеми леснотијата и брзината на ПДИ за сите сектори на населението, земајќи ја предвид транспарентноста во раните фази на дизајнирање на нови системи, административни процеси, процедури и модели на управување и нејзино вградување во нивното секојдневно работење</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