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Pursuant to Article 36 of the Law on Free Access to Public Information ("Official Gazette of the RSM No. 101/2019)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name of the information holder, address, phone, fax, e-mail)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(name of official)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prepared the next one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ANNUAL REPORT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(from 1.01.2023 to 31.12.2023)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Data on the officials designated for mediation with information at       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Information holders;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Number of requests received;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Number of positively answered requests;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Number of rejected and rejected requests, stating the reasons for each rejected or rejected request;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Number of unanswered requests;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Number of appeals filed against first-instance decisions (decisions of the information holders, with a description of the decision, as well as stating the reasons for the adopted decision in case of repeated refusal of the requested information);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80"/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Number of accepted appeals by decision of the Agency;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Number of revised first-instance decisions following the Agency's action;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Number of appeals rejected by the Agency and reasons for their rejection;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Number of appeals rejected by the Agency and reasons for their refusal;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listed obligations from Article 36 also mean your obligation to answer them precisely, with data, comments and characteristics arising from your work.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                                        </w:t>
        <w:tab/>
        <w:tab/>
        <w:t xml:space="preserve">_______________________________   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(Place and date)                                         </w:t>
        <w:tab/>
        <w:tab/>
        <w:t xml:space="preserve">   (Information holder - signature)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                                     </w:t>
        <w:tab/>
        <w:t xml:space="preserve">    </w:t>
        <w:tab/>
        <w:tab/>
        <w:t xml:space="preserve">      _________________________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</w:t>
        <w:tab/>
        <w:tab/>
        <w:tab/>
        <w:tab/>
        <w:tab/>
        <w:tab/>
        <w:tab/>
        <w:t xml:space="preserve">       (Official person - signature)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