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598B" w14:textId="3CB2FFD7" w:rsidR="0024473E" w:rsidRDefault="0024473E" w:rsidP="00386E96">
      <w:pPr>
        <w:jc w:val="both"/>
        <w:rPr>
          <w:rFonts w:ascii="StobiSerif Regular" w:hAnsi="StobiSerif Regular"/>
          <w:b/>
          <w:bCs/>
          <w:sz w:val="22"/>
          <w:szCs w:val="22"/>
        </w:rPr>
      </w:pPr>
      <w:r w:rsidRPr="0024473E">
        <w:rPr>
          <w:rFonts w:ascii="StobiSerif Regular" w:hAnsi="StobiSerif Regular"/>
          <w:bCs/>
          <w:sz w:val="22"/>
          <w:szCs w:val="22"/>
        </w:rPr>
        <w:t>Agjencia për Mbrojtjen e të Drejtës</w:t>
      </w:r>
      <w:r>
        <w:rPr>
          <w:rFonts w:ascii="StobiSerif Regular" w:hAnsi="StobiSerif Regular"/>
          <w:bCs/>
          <w:sz w:val="22"/>
          <w:szCs w:val="22"/>
        </w:rPr>
        <w:t xml:space="preserve"> për Qasje të Lirë në Informata</w:t>
      </w:r>
      <w:r>
        <w:rPr>
          <w:rFonts w:ascii="StobiSerif Regular" w:hAnsi="StobiSerif Regular"/>
          <w:bCs/>
          <w:sz w:val="22"/>
          <w:szCs w:val="22"/>
          <w:lang w:val="sq-AL"/>
        </w:rPr>
        <w:t xml:space="preserve"> me Karakter</w:t>
      </w:r>
      <w:r>
        <w:rPr>
          <w:rFonts w:ascii="StobiSerif Regular" w:hAnsi="StobiSerif Regular"/>
          <w:bCs/>
          <w:sz w:val="22"/>
          <w:szCs w:val="22"/>
        </w:rPr>
        <w:t xml:space="preserve"> Publik</w:t>
      </w:r>
      <w:r w:rsidRPr="0024473E">
        <w:rPr>
          <w:rFonts w:ascii="StobiSerif Regular" w:hAnsi="StobiSerif Regular"/>
          <w:bCs/>
          <w:sz w:val="22"/>
          <w:szCs w:val="22"/>
        </w:rPr>
        <w:t xml:space="preserve">, në përputhje me dokumentet e saj strategjike të punës, monitoron faqet e internetit të poseduesve të informacioneve </w:t>
      </w:r>
      <w:r>
        <w:rPr>
          <w:rFonts w:ascii="StobiSerif Regular" w:hAnsi="StobiSerif Regular"/>
          <w:bCs/>
          <w:sz w:val="22"/>
          <w:szCs w:val="22"/>
          <w:lang w:val="sq-AL"/>
        </w:rPr>
        <w:t xml:space="preserve">me karakter </w:t>
      </w:r>
      <w:r w:rsidR="0092771C">
        <w:rPr>
          <w:rFonts w:ascii="StobiSerif Regular" w:hAnsi="StobiSerif Regular"/>
          <w:bCs/>
          <w:sz w:val="22"/>
          <w:szCs w:val="22"/>
        </w:rPr>
        <w:t>publik</w:t>
      </w:r>
      <w:r w:rsidRPr="0024473E">
        <w:rPr>
          <w:rFonts w:ascii="StobiSerif Regular" w:hAnsi="StobiSerif Regular"/>
          <w:bCs/>
          <w:sz w:val="22"/>
          <w:szCs w:val="22"/>
        </w:rPr>
        <w:t xml:space="preserve">, të cilët janë të detyruar t'i publikojnë në ueb-faqet e tyre, në përputhje me nenin 10 të Ligjit për </w:t>
      </w:r>
      <w:r w:rsidR="0092771C">
        <w:rPr>
          <w:rFonts w:ascii="StobiSerif Regular" w:hAnsi="StobiSerif Regular"/>
          <w:bCs/>
          <w:sz w:val="22"/>
          <w:szCs w:val="22"/>
          <w:lang w:val="sq-AL"/>
        </w:rPr>
        <w:t>qasje të lirë</w:t>
      </w:r>
      <w:r w:rsidRPr="0024473E">
        <w:rPr>
          <w:rFonts w:ascii="StobiSerif Regular" w:hAnsi="StobiSerif Regular"/>
          <w:bCs/>
          <w:sz w:val="22"/>
          <w:szCs w:val="22"/>
        </w:rPr>
        <w:t xml:space="preserve"> në informacion</w:t>
      </w:r>
      <w:r w:rsidR="0092771C">
        <w:rPr>
          <w:rFonts w:ascii="StobiSerif Regular" w:hAnsi="StobiSerif Regular"/>
          <w:bCs/>
          <w:sz w:val="22"/>
          <w:szCs w:val="22"/>
          <w:lang w:val="sq-AL"/>
        </w:rPr>
        <w:t>e me karakter</w:t>
      </w:r>
      <w:r w:rsidRPr="0024473E">
        <w:rPr>
          <w:rFonts w:ascii="StobiSerif Regular" w:hAnsi="StobiSerif Regular"/>
          <w:bCs/>
          <w:sz w:val="22"/>
          <w:szCs w:val="22"/>
        </w:rPr>
        <w:t xml:space="preserve"> publik. Agjencia ka përgatitur një analizë krahasuese që i referohet 44 </w:t>
      </w:r>
      <w:r w:rsidR="00BA0E5F">
        <w:rPr>
          <w:rFonts w:ascii="StobiSerif Regular" w:hAnsi="StobiSerif Regular"/>
          <w:bCs/>
          <w:sz w:val="22"/>
          <w:szCs w:val="22"/>
          <w:lang w:val="sq-AL"/>
        </w:rPr>
        <w:t>poseduesve</w:t>
      </w:r>
      <w:r w:rsidR="00BA0E5F" w:rsidRPr="0024473E">
        <w:rPr>
          <w:rFonts w:ascii="StobiSerif Regular" w:hAnsi="StobiSerif Regular"/>
          <w:bCs/>
          <w:sz w:val="22"/>
          <w:szCs w:val="22"/>
        </w:rPr>
        <w:t xml:space="preserve"> </w:t>
      </w:r>
      <w:r w:rsidR="0092771C">
        <w:rPr>
          <w:rFonts w:ascii="StobiSerif Regular" w:hAnsi="StobiSerif Regular"/>
          <w:bCs/>
          <w:sz w:val="22"/>
          <w:szCs w:val="22"/>
        </w:rPr>
        <w:t>të informacionit: Qeverisë së R</w:t>
      </w:r>
      <w:r w:rsidRPr="0024473E">
        <w:rPr>
          <w:rFonts w:ascii="StobiSerif Regular" w:hAnsi="StobiSerif Regular"/>
          <w:bCs/>
          <w:sz w:val="22"/>
          <w:szCs w:val="22"/>
        </w:rPr>
        <w:t>M</w:t>
      </w:r>
      <w:r w:rsidR="0092771C">
        <w:rPr>
          <w:rFonts w:ascii="StobiSerif Regular" w:hAnsi="StobiSerif Regular"/>
          <w:bCs/>
          <w:sz w:val="22"/>
          <w:szCs w:val="22"/>
          <w:lang w:val="sq-AL"/>
        </w:rPr>
        <w:t>V</w:t>
      </w:r>
      <w:r w:rsidR="0092771C">
        <w:rPr>
          <w:rFonts w:ascii="StobiSerif Regular" w:hAnsi="StobiSerif Regular"/>
          <w:bCs/>
          <w:sz w:val="22"/>
          <w:szCs w:val="22"/>
        </w:rPr>
        <w:t xml:space="preserve">-së, ministrive dhe organeve </w:t>
      </w:r>
      <w:r w:rsidR="0092771C">
        <w:rPr>
          <w:rFonts w:ascii="StobiSerif Regular" w:hAnsi="StobiSerif Regular"/>
          <w:bCs/>
          <w:sz w:val="22"/>
          <w:szCs w:val="22"/>
          <w:lang w:val="sq-AL"/>
        </w:rPr>
        <w:t>në përbërje</w:t>
      </w:r>
      <w:r w:rsidRPr="0024473E">
        <w:rPr>
          <w:rFonts w:ascii="StobiSerif Regular" w:hAnsi="StobiSerif Regular"/>
          <w:bCs/>
          <w:sz w:val="22"/>
          <w:szCs w:val="22"/>
        </w:rPr>
        <w:t xml:space="preserve">, për vitin 2018-2022 dhe është bërë në përputhje me Strategjinë e Qeverisë për Transparencë (2019-2022). . Analiza tregon në mënyrë kronologjike tendencën e transparencës aktive ndër vite që tregojnë institucionet e kësaj kategorie </w:t>
      </w:r>
      <w:r>
        <w:rPr>
          <w:rFonts w:ascii="StobiSerif Regular" w:hAnsi="StobiSerif Regular"/>
          <w:bCs/>
          <w:sz w:val="22"/>
          <w:szCs w:val="22"/>
          <w:lang w:val="sq-AL"/>
        </w:rPr>
        <w:t>të poseduesve</w:t>
      </w:r>
      <w:r w:rsidRPr="0024473E">
        <w:rPr>
          <w:rFonts w:ascii="StobiSerif Regular" w:hAnsi="StobiSerif Regular"/>
          <w:bCs/>
          <w:sz w:val="22"/>
          <w:szCs w:val="22"/>
        </w:rPr>
        <w:t>.</w:t>
      </w:r>
    </w:p>
    <w:p w14:paraId="4C8C073F" w14:textId="7CE4967E" w:rsidR="0024473E" w:rsidRDefault="0024473E" w:rsidP="00386E96">
      <w:pPr>
        <w:jc w:val="both"/>
        <w:rPr>
          <w:rFonts w:ascii="StobiSerif Regular" w:hAnsi="StobiSerif Regular"/>
          <w:b/>
          <w:bCs/>
          <w:sz w:val="22"/>
          <w:szCs w:val="22"/>
        </w:rPr>
      </w:pPr>
    </w:p>
    <w:p w14:paraId="686E5D47" w14:textId="6C0390F6" w:rsidR="0092771C" w:rsidRDefault="00DB2215" w:rsidP="00386E96">
      <w:pPr>
        <w:jc w:val="both"/>
        <w:rPr>
          <w:rFonts w:ascii="StobiSerif Regular" w:hAnsi="StobiSerif Regular"/>
          <w:b/>
          <w:bCs/>
          <w:sz w:val="22"/>
          <w:szCs w:val="22"/>
        </w:rPr>
      </w:pPr>
      <w:r w:rsidRPr="00DB2215">
        <w:rPr>
          <w:rFonts w:ascii="StobiSerif Regular" w:hAnsi="StobiSerif Regular"/>
          <w:bCs/>
          <w:sz w:val="22"/>
          <w:szCs w:val="22"/>
        </w:rPr>
        <w:t>Pu</w:t>
      </w:r>
      <w:r>
        <w:rPr>
          <w:rFonts w:ascii="StobiSerif Regular" w:hAnsi="StobiSerif Regular"/>
          <w:bCs/>
          <w:sz w:val="22"/>
          <w:szCs w:val="22"/>
        </w:rPr>
        <w:t>blikimi proaktiv i informacion</w:t>
      </w:r>
      <w:r>
        <w:rPr>
          <w:rFonts w:ascii="StobiSerif Regular" w:hAnsi="StobiSerif Regular"/>
          <w:bCs/>
          <w:sz w:val="22"/>
          <w:szCs w:val="22"/>
          <w:lang w:val="sq-AL"/>
        </w:rPr>
        <w:t>eve</w:t>
      </w:r>
      <w:r w:rsidRPr="00DB2215">
        <w:rPr>
          <w:rFonts w:ascii="StobiSerif Regular" w:hAnsi="StobiSerif Regular"/>
          <w:bCs/>
          <w:sz w:val="22"/>
          <w:szCs w:val="22"/>
        </w:rPr>
        <w:t xml:space="preserve"> me karakter publik është detyrim ligjor i të gjithë poseduesve, me iniciativë dhe në vazhdimësi, të publikojnë informacione për punën dhe veprimtarinë e tyre, për vendimet e marra, financat dhe shërbimet që u ofrojnë qytetarëve.</w:t>
      </w:r>
    </w:p>
    <w:p w14:paraId="5FDD2746" w14:textId="686C921B" w:rsidR="00DB2215" w:rsidRDefault="00DB2215" w:rsidP="00386E96">
      <w:pPr>
        <w:jc w:val="both"/>
        <w:rPr>
          <w:rFonts w:ascii="StobiSerif Regular" w:hAnsi="StobiSerif Regular"/>
          <w:b/>
          <w:bCs/>
          <w:sz w:val="22"/>
          <w:szCs w:val="22"/>
        </w:rPr>
      </w:pPr>
    </w:p>
    <w:p w14:paraId="0C5C82CC" w14:textId="2F12152E" w:rsidR="00295311" w:rsidRDefault="00295311" w:rsidP="00295311">
      <w:pPr>
        <w:jc w:val="both"/>
        <w:rPr>
          <w:rFonts w:ascii="StobiSerif Regular" w:hAnsi="StobiSerif Regular"/>
          <w:b/>
          <w:bCs/>
          <w:sz w:val="22"/>
          <w:szCs w:val="22"/>
        </w:rPr>
      </w:pPr>
      <w:r w:rsidRPr="00295311">
        <w:rPr>
          <w:rFonts w:ascii="StobiSerif Regular" w:hAnsi="StobiSerif Regular"/>
          <w:bCs/>
          <w:sz w:val="22"/>
          <w:szCs w:val="22"/>
        </w:rPr>
        <w:t>Qëllimi i përmbushjes së detyrimit për publikimin proaktiv të informacionit është mundësia që qytetarët/kërkuesit e informacionit të ushtrojnë të drejtën e tyre të garantuar me kushtetutë për akses në informacion në mënyrë të thjeshtë dhe të shpejtë. Në të njëjtën kohë, poseduesit e informacionit marrin legjitimitetin e nevojshëm, sepse demonstrojnë përgjegjësi në punën e tyre dhe në këtë mënyrë rikthejnë besimin e qytetarëve tek institucionet.</w:t>
      </w:r>
    </w:p>
    <w:p w14:paraId="63C34087" w14:textId="77777777" w:rsidR="00F024BA" w:rsidRPr="00295311" w:rsidRDefault="00F024BA" w:rsidP="00295311">
      <w:pPr>
        <w:jc w:val="both"/>
        <w:rPr>
          <w:rFonts w:ascii="StobiSerif Regular" w:hAnsi="StobiSerif Regular"/>
          <w:b/>
          <w:bCs/>
          <w:sz w:val="22"/>
          <w:szCs w:val="22"/>
        </w:rPr>
      </w:pPr>
    </w:p>
    <w:p w14:paraId="54128CB2" w14:textId="7C8CDAA7" w:rsidR="00295311" w:rsidRDefault="00295311" w:rsidP="00295311">
      <w:pPr>
        <w:jc w:val="both"/>
        <w:rPr>
          <w:rFonts w:ascii="StobiSerif Regular" w:hAnsi="StobiSerif Regular"/>
          <w:b/>
          <w:bCs/>
          <w:sz w:val="22"/>
          <w:szCs w:val="22"/>
        </w:rPr>
      </w:pPr>
      <w:r w:rsidRPr="00295311">
        <w:rPr>
          <w:rFonts w:ascii="StobiSerif Regular" w:hAnsi="StobiSerif Regular"/>
          <w:bCs/>
          <w:sz w:val="22"/>
          <w:szCs w:val="22"/>
        </w:rPr>
        <w:t>Me publikimin proaktiv të informacion</w:t>
      </w:r>
      <w:r w:rsidR="003010D0">
        <w:rPr>
          <w:rFonts w:ascii="StobiSerif Regular" w:hAnsi="StobiSerif Regular"/>
          <w:bCs/>
          <w:sz w:val="22"/>
          <w:szCs w:val="22"/>
          <w:lang w:val="sq-AL"/>
        </w:rPr>
        <w:t>eve me karakter</w:t>
      </w:r>
      <w:r w:rsidRPr="00295311">
        <w:rPr>
          <w:rFonts w:ascii="StobiSerif Regular" w:hAnsi="StobiSerif Regular"/>
          <w:bCs/>
          <w:sz w:val="22"/>
          <w:szCs w:val="22"/>
        </w:rPr>
        <w:t xml:space="preserve"> publik, vendoset qartë detyrimi ligjor për poseduesit jo vetëm që t'u përgjigjen kërkesave të parashtruara në lidhje me Ligjin për </w:t>
      </w:r>
      <w:r w:rsidR="00F024BA">
        <w:rPr>
          <w:rFonts w:ascii="StobiSerif Regular" w:hAnsi="StobiSerif Regular"/>
          <w:bCs/>
          <w:sz w:val="22"/>
          <w:szCs w:val="22"/>
          <w:lang w:val="sq-AL"/>
        </w:rPr>
        <w:t>LQLIKP</w:t>
      </w:r>
      <w:r w:rsidRPr="00295311">
        <w:rPr>
          <w:rFonts w:ascii="StobiSerif Regular" w:hAnsi="StobiSerif Regular"/>
          <w:bCs/>
          <w:sz w:val="22"/>
          <w:szCs w:val="22"/>
        </w:rPr>
        <w:t xml:space="preserve">-në, por edhe të publikojnë informacionin që nuk është kërkuar, në lidhje me aplikacionet në ueb. Zbulimi proaktiv i informacionit është një pjesë integrale e së drejtës për </w:t>
      </w:r>
      <w:r w:rsidR="003010D0">
        <w:rPr>
          <w:rFonts w:ascii="StobiSerif Regular" w:hAnsi="StobiSerif Regular"/>
          <w:bCs/>
          <w:sz w:val="22"/>
          <w:szCs w:val="22"/>
          <w:lang w:val="sq-AL"/>
        </w:rPr>
        <w:t>qasje</w:t>
      </w:r>
      <w:r w:rsidRPr="00295311">
        <w:rPr>
          <w:rFonts w:ascii="StobiSerif Regular" w:hAnsi="StobiSerif Regular"/>
          <w:bCs/>
          <w:sz w:val="22"/>
          <w:szCs w:val="22"/>
        </w:rPr>
        <w:t xml:space="preserve"> në informacion</w:t>
      </w:r>
      <w:r w:rsidR="003010D0">
        <w:rPr>
          <w:rFonts w:ascii="StobiSerif Regular" w:hAnsi="StobiSerif Regular"/>
          <w:bCs/>
          <w:sz w:val="22"/>
          <w:szCs w:val="22"/>
          <w:lang w:val="sq-AL"/>
        </w:rPr>
        <w:t>e</w:t>
      </w:r>
      <w:r w:rsidRPr="00295311">
        <w:rPr>
          <w:rFonts w:ascii="StobiSerif Regular" w:hAnsi="StobiSerif Regular"/>
          <w:bCs/>
          <w:sz w:val="22"/>
          <w:szCs w:val="22"/>
        </w:rPr>
        <w:t>, duke siguruar disponueshmërinë në kohë të informacionit kyç.</w:t>
      </w:r>
    </w:p>
    <w:p w14:paraId="41F28583" w14:textId="77777777" w:rsidR="00F024BA" w:rsidRPr="00295311" w:rsidRDefault="00F024BA" w:rsidP="00295311">
      <w:pPr>
        <w:jc w:val="both"/>
        <w:rPr>
          <w:rFonts w:ascii="StobiSerif Regular" w:hAnsi="StobiSerif Regular"/>
          <w:b/>
          <w:bCs/>
          <w:sz w:val="22"/>
          <w:szCs w:val="22"/>
        </w:rPr>
      </w:pPr>
    </w:p>
    <w:p w14:paraId="282E07A0" w14:textId="34490699" w:rsidR="00DB2215" w:rsidRPr="000A6C14" w:rsidRDefault="00295311" w:rsidP="00295311">
      <w:pPr>
        <w:jc w:val="both"/>
        <w:rPr>
          <w:rFonts w:ascii="StobiSerif Regular" w:hAnsi="StobiSerif Regular"/>
          <w:b/>
          <w:bCs/>
          <w:sz w:val="22"/>
          <w:szCs w:val="22"/>
          <w:lang w:val="sq-AL"/>
        </w:rPr>
      </w:pPr>
      <w:r w:rsidRPr="00295311">
        <w:rPr>
          <w:rFonts w:ascii="StobiSerif Regular" w:hAnsi="StobiSerif Regular"/>
          <w:bCs/>
          <w:sz w:val="22"/>
          <w:szCs w:val="22"/>
        </w:rPr>
        <w:t xml:space="preserve">Analiza është përgatitur nga monitorimi i kryer nga Agjencia një herë në vit në faqet e internetit të </w:t>
      </w:r>
      <w:r w:rsidR="00DE4CB2">
        <w:rPr>
          <w:rFonts w:ascii="StobiSerif Regular" w:hAnsi="StobiSerif Regular"/>
          <w:bCs/>
          <w:sz w:val="22"/>
          <w:szCs w:val="22"/>
          <w:lang w:val="sq-AL"/>
        </w:rPr>
        <w:t>poseduesve</w:t>
      </w:r>
      <w:r w:rsidRPr="00295311">
        <w:rPr>
          <w:rFonts w:ascii="StobiSerif Regular" w:hAnsi="StobiSerif Regular"/>
          <w:bCs/>
          <w:sz w:val="22"/>
          <w:szCs w:val="22"/>
        </w:rPr>
        <w:t xml:space="preserve"> dhe tregon tendencën e transparencës proaktive të tyre. Mund të konstatohet se transparenca mesatare dhe publikimi proaktiv i informacionit në periudhën pesëvjeçare të analizuar për Qeverinë dhe ministritë është 79%, ndërsa transparenca e organeve brenda Qeverisë është 71%. Mesatarja e transparencës së totalit të institucioneve të monitoruara për pesë vitet është 74%, që tregon një shkallë të mirë transparence. Në të ardhmen, transparenca aktive duhet të jetë prioriteti më i lartë në </w:t>
      </w:r>
      <w:r w:rsidR="000A6C14">
        <w:rPr>
          <w:rFonts w:ascii="StobiSerif Regular" w:hAnsi="StobiSerif Regular"/>
          <w:bCs/>
          <w:sz w:val="22"/>
          <w:szCs w:val="22"/>
          <w:lang w:val="sq-AL"/>
        </w:rPr>
        <w:t>punën e poseduesve.</w:t>
      </w:r>
    </w:p>
    <w:p w14:paraId="4CFB75F8" w14:textId="77777777" w:rsidR="0092771C" w:rsidRDefault="0092771C" w:rsidP="00386E96">
      <w:pPr>
        <w:jc w:val="both"/>
        <w:rPr>
          <w:rFonts w:ascii="StobiSerif Regular" w:hAnsi="StobiSerif Regular"/>
          <w:b/>
          <w:bCs/>
          <w:sz w:val="22"/>
          <w:szCs w:val="22"/>
        </w:rPr>
      </w:pPr>
    </w:p>
    <w:p w14:paraId="796B3C25" w14:textId="45856451" w:rsidR="00146ADA" w:rsidRPr="00B2743A" w:rsidRDefault="00146ADA" w:rsidP="008C2B6F">
      <w:pPr>
        <w:jc w:val="both"/>
        <w:rPr>
          <w:rFonts w:ascii="StobiSerif Regular" w:hAnsi="StobiSerif Regular"/>
          <w:b/>
          <w:bCs/>
          <w:sz w:val="22"/>
          <w:szCs w:val="22"/>
        </w:rPr>
      </w:pPr>
    </w:p>
    <w:p w14:paraId="72E5EA95" w14:textId="136982DD" w:rsidR="00146ADA" w:rsidRPr="00B2743A" w:rsidRDefault="00F234D9" w:rsidP="00146ADA">
      <w:pPr>
        <w:jc w:val="center"/>
        <w:rPr>
          <w:rFonts w:ascii="StobiSerif Regular" w:hAnsi="StobiSerif Regular"/>
          <w:b/>
          <w:bCs/>
          <w:sz w:val="22"/>
          <w:szCs w:val="22"/>
        </w:rPr>
      </w:pPr>
      <w:r>
        <w:rPr>
          <w:noProof/>
          <w:lang w:val="sq-AL" w:eastAsia="sq-AL"/>
        </w:rPr>
        <w:drawing>
          <wp:inline distT="0" distB="0" distL="0" distR="0" wp14:anchorId="51CE0744" wp14:editId="3D1F976A">
            <wp:extent cx="5724525" cy="2796540"/>
            <wp:effectExtent l="0" t="0" r="9525" b="381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5724525" cy="2796540"/>
                    </a:xfrm>
                    <a:prstGeom prst="rect">
                      <a:avLst/>
                    </a:prstGeom>
                  </pic:spPr>
                </pic:pic>
              </a:graphicData>
            </a:graphic>
          </wp:inline>
        </w:drawing>
      </w:r>
    </w:p>
    <w:p w14:paraId="1A47BC59" w14:textId="77777777" w:rsidR="00146ADA" w:rsidRPr="00B2743A" w:rsidRDefault="00146ADA" w:rsidP="00146ADA">
      <w:pPr>
        <w:jc w:val="center"/>
        <w:rPr>
          <w:rFonts w:ascii="StobiSerif Regular" w:hAnsi="StobiSerif Regular"/>
          <w:b/>
          <w:bCs/>
          <w:sz w:val="22"/>
          <w:szCs w:val="22"/>
        </w:rPr>
      </w:pPr>
    </w:p>
    <w:p w14:paraId="4F652A19" w14:textId="1350F890" w:rsidR="00C17B4A" w:rsidRPr="00C17B4A" w:rsidRDefault="00C17B4A" w:rsidP="00C17B4A">
      <w:pPr>
        <w:jc w:val="both"/>
        <w:rPr>
          <w:rFonts w:ascii="StobiSerif Regular" w:hAnsi="StobiSerif Regular"/>
          <w:b/>
          <w:bCs/>
          <w:sz w:val="22"/>
          <w:szCs w:val="22"/>
        </w:rPr>
      </w:pPr>
      <w:r w:rsidRPr="00C17B4A">
        <w:rPr>
          <w:rFonts w:ascii="StobiSerif Regular" w:hAnsi="StobiSerif Regular"/>
          <w:bCs/>
          <w:sz w:val="22"/>
          <w:szCs w:val="22"/>
        </w:rPr>
        <w:t xml:space="preserve">Në funksionimin e saj, agjencia i kushton theks të veçantë transparencës aktive për arsye se përmirëson punën e vetë institucionit, e bën atë transparent dhe të përgjegjshëm ndaj qytetarëve dhe mbi të gjitha kontribuon në parandalimin e korrupsionit. Në këtë mënyrë, poseduesit demonstrojnë para qytetarëve përkushtimin e tyre për </w:t>
      </w:r>
      <w:r w:rsidR="00B37D42">
        <w:rPr>
          <w:rFonts w:ascii="StobiSerif Regular" w:hAnsi="StobiSerif Regular"/>
          <w:bCs/>
          <w:sz w:val="22"/>
          <w:szCs w:val="22"/>
          <w:lang w:val="sq-AL"/>
        </w:rPr>
        <w:t>qasje</w:t>
      </w:r>
      <w:r w:rsidRPr="00C17B4A">
        <w:rPr>
          <w:rFonts w:ascii="StobiSerif Regular" w:hAnsi="StobiSerif Regular"/>
          <w:bCs/>
          <w:sz w:val="22"/>
          <w:szCs w:val="22"/>
        </w:rPr>
        <w:t xml:space="preserve"> dhe hapje më të madhe për punën e tyre dhe në këtë mënyrë reduktojnë paraqitjen e kërkesave për q</w:t>
      </w:r>
      <w:r w:rsidR="00B37D42">
        <w:rPr>
          <w:rFonts w:ascii="StobiSerif Regular" w:hAnsi="StobiSerif Regular"/>
          <w:bCs/>
          <w:sz w:val="22"/>
          <w:szCs w:val="22"/>
        </w:rPr>
        <w:t xml:space="preserve">asje të lirë në informacione </w:t>
      </w:r>
      <w:r w:rsidR="00B37D42">
        <w:rPr>
          <w:rFonts w:ascii="StobiSerif Regular" w:hAnsi="StobiSerif Regular"/>
          <w:bCs/>
          <w:sz w:val="22"/>
          <w:szCs w:val="22"/>
          <w:lang w:val="sq-AL"/>
        </w:rPr>
        <w:t>me karakter</w:t>
      </w:r>
      <w:r w:rsidRPr="00C17B4A">
        <w:rPr>
          <w:rFonts w:ascii="StobiSerif Regular" w:hAnsi="StobiSerif Regular"/>
          <w:bCs/>
          <w:sz w:val="22"/>
          <w:szCs w:val="22"/>
        </w:rPr>
        <w:t>publike nga kërkuesit.</w:t>
      </w:r>
    </w:p>
    <w:p w14:paraId="65AAF73F" w14:textId="13FFA689" w:rsidR="001D1690" w:rsidRPr="00B2743A" w:rsidRDefault="00C17B4A" w:rsidP="00C17B4A">
      <w:pPr>
        <w:jc w:val="both"/>
        <w:rPr>
          <w:rFonts w:ascii="StobiSerif Regular" w:hAnsi="StobiSerif Regular"/>
          <w:b/>
          <w:bCs/>
          <w:sz w:val="22"/>
          <w:szCs w:val="22"/>
        </w:rPr>
      </w:pPr>
      <w:r w:rsidRPr="00C17B4A">
        <w:rPr>
          <w:rFonts w:ascii="StobiSerif Regular" w:hAnsi="StobiSerif Regular"/>
          <w:bCs/>
          <w:sz w:val="22"/>
          <w:szCs w:val="22"/>
        </w:rPr>
        <w:t xml:space="preserve">Analiza tregoi se transparenca proaktive lëviz ndryshe në varësi të vitit që ka qenë objekt i monitorimit, por edhe nga informacioni që është publikuar në përputhje me nenin 10 të </w:t>
      </w:r>
      <w:r>
        <w:rPr>
          <w:rFonts w:ascii="StobiSerif Regular" w:hAnsi="StobiSerif Regular"/>
          <w:bCs/>
          <w:sz w:val="22"/>
          <w:szCs w:val="22"/>
          <w:lang w:val="sq-AL"/>
        </w:rPr>
        <w:t>LQLIKP</w:t>
      </w:r>
      <w:r w:rsidRPr="00C17B4A">
        <w:rPr>
          <w:rFonts w:ascii="StobiSerif Regular" w:hAnsi="StobiSerif Regular"/>
          <w:bCs/>
          <w:sz w:val="22"/>
          <w:szCs w:val="22"/>
        </w:rPr>
        <w:t>.</w:t>
      </w:r>
      <w:r w:rsidR="002202B4" w:rsidRPr="00B2743A">
        <w:rPr>
          <w:rFonts w:ascii="StobiSerif Regular" w:hAnsi="StobiSerif Regular"/>
          <w:bCs/>
          <w:sz w:val="22"/>
          <w:szCs w:val="22"/>
        </w:rPr>
        <w:t xml:space="preserve"> </w:t>
      </w:r>
    </w:p>
    <w:p w14:paraId="3AA0B891" w14:textId="64B375BE" w:rsidR="00EA77A8" w:rsidRPr="00B2743A" w:rsidRDefault="00C17B4A" w:rsidP="00A477B9">
      <w:pPr>
        <w:jc w:val="both"/>
        <w:rPr>
          <w:rFonts w:ascii="StobiSerif Regular" w:hAnsi="StobiSerif Regular"/>
          <w:b/>
          <w:bCs/>
          <w:sz w:val="22"/>
          <w:szCs w:val="22"/>
        </w:rPr>
      </w:pPr>
      <w:r w:rsidRPr="00C17B4A">
        <w:rPr>
          <w:rFonts w:ascii="StobiSerif Regular" w:hAnsi="StobiSerif Regular"/>
          <w:bCs/>
          <w:sz w:val="22"/>
          <w:szCs w:val="22"/>
        </w:rPr>
        <w:t>Kjo mund të shihet në të dhënat e mëposhtme:</w:t>
      </w:r>
    </w:p>
    <w:p w14:paraId="2F987A93" w14:textId="47FA18D7" w:rsidR="00B2743A" w:rsidRDefault="00B2743A" w:rsidP="00A477B9">
      <w:pPr>
        <w:jc w:val="both"/>
        <w:rPr>
          <w:rFonts w:ascii="StobiSerif Regular" w:hAnsi="StobiSerif Regular"/>
          <w:b/>
          <w:bCs/>
          <w:sz w:val="22"/>
          <w:szCs w:val="22"/>
        </w:rPr>
      </w:pPr>
    </w:p>
    <w:p w14:paraId="72ACCA2A" w14:textId="77777777" w:rsidR="00181F9B" w:rsidRDefault="00181F9B" w:rsidP="00A477B9">
      <w:pPr>
        <w:jc w:val="both"/>
        <w:rPr>
          <w:rFonts w:ascii="StobiSerif Regular" w:hAnsi="StobiSerif Regular"/>
          <w:b/>
          <w:bCs/>
          <w:sz w:val="22"/>
          <w:szCs w:val="22"/>
        </w:rPr>
      </w:pPr>
    </w:p>
    <w:p w14:paraId="45091F94" w14:textId="7FE471FE" w:rsidR="002202B4" w:rsidRDefault="00661438" w:rsidP="00661438">
      <w:pPr>
        <w:jc w:val="both"/>
        <w:rPr>
          <w:rFonts w:ascii="StobiSerif Regular" w:hAnsi="StobiSerif Regular"/>
          <w:b/>
          <w:bCs/>
          <w:sz w:val="22"/>
          <w:szCs w:val="22"/>
        </w:rPr>
      </w:pPr>
      <w:r>
        <w:rPr>
          <w:rFonts w:ascii="StobiSerif Regular" w:hAnsi="StobiSerif Regular"/>
          <w:bCs/>
          <w:sz w:val="22"/>
          <w:szCs w:val="22"/>
          <w:lang w:val="sq-AL"/>
        </w:rPr>
        <w:t>Nga paraqitja grafike mund të shihet tendenca e transparencës aktive:</w:t>
      </w:r>
    </w:p>
    <w:p w14:paraId="69C42DF9" w14:textId="77777777" w:rsidR="00B2743A" w:rsidRPr="00661438" w:rsidRDefault="00B2743A" w:rsidP="00A477B9">
      <w:pPr>
        <w:jc w:val="both"/>
        <w:rPr>
          <w:rFonts w:ascii="StobiSerif Regular" w:hAnsi="StobiSerif Regular"/>
          <w:b/>
          <w:bCs/>
          <w:sz w:val="22"/>
          <w:szCs w:val="22"/>
          <w:lang w:val="en-US"/>
        </w:rPr>
      </w:pPr>
    </w:p>
    <w:p w14:paraId="4F02AD42" w14:textId="7DBAFD61" w:rsidR="002202B4" w:rsidRPr="00B2743A" w:rsidRDefault="00777414" w:rsidP="00A477B9">
      <w:pPr>
        <w:jc w:val="both"/>
        <w:rPr>
          <w:rFonts w:ascii="StobiSerif Regular" w:hAnsi="StobiSerif Regular"/>
          <w:b/>
          <w:bCs/>
          <w:sz w:val="22"/>
          <w:szCs w:val="22"/>
        </w:rPr>
      </w:pPr>
      <w:r>
        <w:rPr>
          <w:rFonts w:ascii="StobiSerif Regular" w:hAnsi="StobiSerif Regular"/>
          <w:b/>
          <w:bCs/>
          <w:noProof/>
          <w:sz w:val="22"/>
          <w:szCs w:val="22"/>
          <w:lang w:val="sq-AL" w:eastAsia="sq-AL"/>
        </w:rPr>
        <w:drawing>
          <wp:inline distT="0" distB="0" distL="0" distR="0" wp14:anchorId="7A75C1A6" wp14:editId="3365ADCA">
            <wp:extent cx="6042660" cy="3436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2660" cy="3436620"/>
                    </a:xfrm>
                    <a:prstGeom prst="rect">
                      <a:avLst/>
                    </a:prstGeom>
                    <a:noFill/>
                  </pic:spPr>
                </pic:pic>
              </a:graphicData>
            </a:graphic>
          </wp:inline>
        </w:drawing>
      </w:r>
    </w:p>
    <w:p w14:paraId="72E38D5A" w14:textId="09103BCE" w:rsidR="001D1690" w:rsidRDefault="001D1690" w:rsidP="00A477B9">
      <w:pPr>
        <w:jc w:val="both"/>
        <w:rPr>
          <w:rFonts w:ascii="StobiSerif Regular" w:hAnsi="StobiSerif Regular"/>
          <w:b/>
          <w:bCs/>
          <w:sz w:val="22"/>
          <w:szCs w:val="22"/>
        </w:rPr>
      </w:pPr>
    </w:p>
    <w:p w14:paraId="4ED2F40C" w14:textId="0DE962A1" w:rsidR="00D9274B" w:rsidRDefault="00D9274B">
      <w:pPr>
        <w:jc w:val="both"/>
        <w:rPr>
          <w:rFonts w:ascii="StobiSerif Regular" w:hAnsi="StobiSerif Regular"/>
          <w:b/>
          <w:bCs/>
          <w:sz w:val="22"/>
          <w:szCs w:val="22"/>
        </w:rPr>
      </w:pPr>
      <w:r>
        <w:rPr>
          <w:rFonts w:ascii="StobiSerif Regular" w:hAnsi="StobiSerif Regular"/>
          <w:bCs/>
          <w:sz w:val="22"/>
          <w:szCs w:val="22"/>
        </w:rPr>
        <w:br w:type="page"/>
      </w:r>
    </w:p>
    <w:p w14:paraId="4D796E0A" w14:textId="77777777" w:rsidR="00D9274B" w:rsidRPr="00B2743A" w:rsidRDefault="00D9274B" w:rsidP="00A477B9">
      <w:pPr>
        <w:jc w:val="both"/>
        <w:rPr>
          <w:rFonts w:ascii="StobiSerif Regular" w:hAnsi="StobiSerif Regular"/>
          <w:b/>
          <w:bCs/>
          <w:sz w:val="22"/>
          <w:szCs w:val="22"/>
        </w:rPr>
      </w:pPr>
    </w:p>
    <w:p w14:paraId="6A3AA540" w14:textId="19595EFB" w:rsidR="00661438" w:rsidRDefault="00661438" w:rsidP="00751BF3">
      <w:pPr>
        <w:jc w:val="both"/>
        <w:rPr>
          <w:rFonts w:ascii="StobiSerif Regular" w:hAnsi="StobiSerif Regular"/>
          <w:b/>
          <w:bCs/>
          <w:sz w:val="22"/>
          <w:szCs w:val="22"/>
          <w:lang w:val="sq-AL"/>
        </w:rPr>
      </w:pPr>
      <w:r>
        <w:rPr>
          <w:rFonts w:ascii="StobiSerif Regular" w:hAnsi="StobiSerif Regular"/>
          <w:bCs/>
          <w:sz w:val="22"/>
          <w:szCs w:val="22"/>
          <w:lang w:val="sq-AL"/>
        </w:rPr>
        <w:t>Nga poseduesit e analizuar pesë institucionet më të mira janë:</w:t>
      </w:r>
    </w:p>
    <w:p w14:paraId="66657763" w14:textId="77777777" w:rsidR="00B2743A" w:rsidRPr="00B2743A" w:rsidRDefault="00B2743A" w:rsidP="00751BF3">
      <w:pPr>
        <w:jc w:val="both"/>
        <w:rPr>
          <w:rFonts w:ascii="StobiSerif Regular" w:hAnsi="StobiSerif Regular"/>
          <w:b/>
          <w:bCs/>
          <w:sz w:val="22"/>
          <w:szCs w:val="22"/>
        </w:rPr>
      </w:pPr>
    </w:p>
    <w:p w14:paraId="68587FB5" w14:textId="7AD607A1" w:rsidR="00D14CD7" w:rsidRPr="00B2743A" w:rsidRDefault="006419DD" w:rsidP="00751BF3">
      <w:pPr>
        <w:jc w:val="center"/>
        <w:rPr>
          <w:rFonts w:ascii="StobiSerif Regular" w:hAnsi="StobiSerif Regular"/>
          <w:b/>
          <w:bCs/>
          <w:sz w:val="22"/>
          <w:szCs w:val="22"/>
        </w:rPr>
      </w:pPr>
      <w:r w:rsidRPr="00B2743A">
        <w:rPr>
          <w:rFonts w:ascii="StobiSerif Regular" w:hAnsi="StobiSerif Regular"/>
          <w:b/>
          <w:bCs/>
          <w:noProof/>
          <w:sz w:val="22"/>
          <w:szCs w:val="22"/>
          <w:lang w:val="sq-AL" w:eastAsia="sq-AL"/>
        </w:rPr>
        <w:drawing>
          <wp:inline distT="0" distB="0" distL="0" distR="0" wp14:anchorId="0619C40E" wp14:editId="0349FB8F">
            <wp:extent cx="6254115"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2635" cy="2668895"/>
                    </a:xfrm>
                    <a:prstGeom prst="rect">
                      <a:avLst/>
                    </a:prstGeom>
                    <a:noFill/>
                  </pic:spPr>
                </pic:pic>
              </a:graphicData>
            </a:graphic>
          </wp:inline>
        </w:drawing>
      </w:r>
    </w:p>
    <w:p w14:paraId="264001A2" w14:textId="77777777" w:rsidR="00BA00FA" w:rsidRDefault="00BA00FA" w:rsidP="00CA234E">
      <w:pPr>
        <w:jc w:val="both"/>
        <w:rPr>
          <w:rFonts w:ascii="StobiSerif Regular" w:hAnsi="StobiSerif Regular"/>
          <w:b/>
          <w:bCs/>
          <w:sz w:val="22"/>
          <w:szCs w:val="22"/>
        </w:rPr>
      </w:pPr>
    </w:p>
    <w:p w14:paraId="3A027E7C" w14:textId="1CDC24F7" w:rsidR="006419DD" w:rsidRDefault="00661438" w:rsidP="00CA234E">
      <w:pPr>
        <w:jc w:val="both"/>
        <w:rPr>
          <w:rFonts w:ascii="StobiSerif Regular" w:hAnsi="StobiSerif Regular"/>
          <w:b/>
          <w:bCs/>
          <w:sz w:val="22"/>
          <w:szCs w:val="22"/>
        </w:rPr>
      </w:pPr>
      <w:r w:rsidRPr="00661438">
        <w:rPr>
          <w:rFonts w:ascii="StobiSerif Regular" w:hAnsi="StobiSerif Regular"/>
          <w:bCs/>
          <w:sz w:val="22"/>
          <w:szCs w:val="22"/>
        </w:rPr>
        <w:t xml:space="preserve">Në pjesën tjetër të analizës shihet transparenca aktive e organeve që kanë qenë edhe </w:t>
      </w:r>
      <w:r>
        <w:rPr>
          <w:rFonts w:ascii="StobiSerif Regular" w:hAnsi="StobiSerif Regular"/>
          <w:bCs/>
          <w:sz w:val="22"/>
          <w:szCs w:val="22"/>
          <w:lang w:val="sq-AL"/>
        </w:rPr>
        <w:t>qëllimi i</w:t>
      </w:r>
      <w:r w:rsidRPr="00661438">
        <w:rPr>
          <w:rFonts w:ascii="StobiSerif Regular" w:hAnsi="StobiSerif Regular"/>
          <w:bCs/>
          <w:sz w:val="22"/>
          <w:szCs w:val="22"/>
        </w:rPr>
        <w:t xml:space="preserve"> monitorimi</w:t>
      </w:r>
      <w:r>
        <w:rPr>
          <w:rFonts w:ascii="StobiSerif Regular" w:hAnsi="StobiSerif Regular"/>
          <w:bCs/>
          <w:sz w:val="22"/>
          <w:szCs w:val="22"/>
          <w:lang w:val="sq-AL"/>
        </w:rPr>
        <w:t>t</w:t>
      </w:r>
      <w:r w:rsidRPr="00661438">
        <w:rPr>
          <w:rFonts w:ascii="StobiSerif Regular" w:hAnsi="StobiSerif Regular"/>
          <w:bCs/>
          <w:sz w:val="22"/>
          <w:szCs w:val="22"/>
        </w:rPr>
        <w:t>, ku shihet tendenca e publikimit proaktiv të informacionit gjatë 5 viteve të monitoruara.</w:t>
      </w:r>
    </w:p>
    <w:p w14:paraId="0B85D81D" w14:textId="008B6F89" w:rsidR="00BA00FA" w:rsidRDefault="00BA00FA" w:rsidP="00CA234E">
      <w:pPr>
        <w:jc w:val="both"/>
        <w:rPr>
          <w:rFonts w:ascii="StobiSerif Regular" w:hAnsi="StobiSerif Regular"/>
          <w:b/>
          <w:bCs/>
          <w:sz w:val="22"/>
          <w:szCs w:val="22"/>
        </w:rPr>
      </w:pPr>
    </w:p>
    <w:p w14:paraId="0042796B" w14:textId="5EA3600D" w:rsidR="00BA00FA" w:rsidRDefault="00BA00FA" w:rsidP="00CA234E">
      <w:pPr>
        <w:jc w:val="both"/>
        <w:rPr>
          <w:rFonts w:ascii="StobiSerif Regular" w:hAnsi="StobiSerif Regular"/>
          <w:b/>
          <w:bCs/>
          <w:sz w:val="22"/>
          <w:szCs w:val="22"/>
        </w:rPr>
      </w:pPr>
      <w:r>
        <w:rPr>
          <w:noProof/>
          <w:lang w:val="sq-AL" w:eastAsia="sq-AL"/>
        </w:rPr>
        <w:drawing>
          <wp:inline distT="0" distB="0" distL="0" distR="0" wp14:anchorId="3CA8AB71" wp14:editId="48B65953">
            <wp:extent cx="6134100" cy="2676525"/>
            <wp:effectExtent l="0" t="0" r="0" b="9525"/>
            <wp:docPr id="1" name="Chart 1">
              <a:extLst xmlns:a="http://schemas.openxmlformats.org/drawingml/2006/main">
                <a:ext uri="{FF2B5EF4-FFF2-40B4-BE49-F238E27FC236}">
                  <a16:creationId xmlns:a16="http://schemas.microsoft.com/office/drawing/2014/main" id="{00000000-0008-0000-1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E83DFD" w14:textId="77777777" w:rsidR="00BA00FA" w:rsidRPr="00B2743A" w:rsidRDefault="00BA00FA" w:rsidP="00CA234E">
      <w:pPr>
        <w:jc w:val="both"/>
        <w:rPr>
          <w:rFonts w:ascii="StobiSerif Regular" w:hAnsi="StobiSerif Regular"/>
          <w:b/>
          <w:bCs/>
          <w:sz w:val="22"/>
          <w:szCs w:val="22"/>
        </w:rPr>
      </w:pPr>
    </w:p>
    <w:p w14:paraId="1EDEB92B" w14:textId="77777777" w:rsidR="00764DAA" w:rsidRPr="00B2743A" w:rsidRDefault="00764DAA" w:rsidP="00CA234E">
      <w:pPr>
        <w:jc w:val="both"/>
        <w:rPr>
          <w:rFonts w:ascii="StobiSerif Regular" w:hAnsi="StobiSerif Regular"/>
          <w:b/>
          <w:bCs/>
          <w:sz w:val="22"/>
          <w:szCs w:val="22"/>
        </w:rPr>
      </w:pPr>
    </w:p>
    <w:p w14:paraId="37145BC5" w14:textId="189292B9" w:rsidR="00D14CD7" w:rsidRPr="00B2743A" w:rsidRDefault="00777414" w:rsidP="00CA234E">
      <w:pPr>
        <w:jc w:val="both"/>
        <w:rPr>
          <w:rFonts w:ascii="StobiSerif Regular" w:hAnsi="StobiSerif Regular"/>
          <w:b/>
          <w:bCs/>
          <w:sz w:val="22"/>
          <w:szCs w:val="22"/>
        </w:rPr>
      </w:pPr>
      <w:r>
        <w:rPr>
          <w:rFonts w:ascii="StobiSerif Regular" w:hAnsi="StobiSerif Regular"/>
          <w:b/>
          <w:bCs/>
          <w:noProof/>
          <w:sz w:val="22"/>
          <w:szCs w:val="22"/>
          <w:lang w:val="sq-AL" w:eastAsia="sq-AL"/>
        </w:rPr>
        <w:lastRenderedPageBreak/>
        <w:drawing>
          <wp:inline distT="0" distB="0" distL="0" distR="0" wp14:anchorId="222BFC8E" wp14:editId="0CEF7017">
            <wp:extent cx="5962650" cy="3329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3329940"/>
                    </a:xfrm>
                    <a:prstGeom prst="rect">
                      <a:avLst/>
                    </a:prstGeom>
                    <a:noFill/>
                  </pic:spPr>
                </pic:pic>
              </a:graphicData>
            </a:graphic>
          </wp:inline>
        </w:drawing>
      </w:r>
    </w:p>
    <w:p w14:paraId="677397C5" w14:textId="4961885C" w:rsidR="00D14CD7" w:rsidRDefault="00D14CD7" w:rsidP="00CA234E">
      <w:pPr>
        <w:jc w:val="both"/>
        <w:rPr>
          <w:rFonts w:ascii="StobiSerif Regular" w:hAnsi="StobiSerif Regular"/>
          <w:b/>
          <w:bCs/>
          <w:sz w:val="22"/>
          <w:szCs w:val="22"/>
        </w:rPr>
      </w:pPr>
    </w:p>
    <w:p w14:paraId="3DB9111B" w14:textId="7FD210EC" w:rsidR="00D9274B" w:rsidRDefault="00D9274B">
      <w:pPr>
        <w:jc w:val="both"/>
        <w:rPr>
          <w:rFonts w:ascii="StobiSerif Regular" w:hAnsi="StobiSerif Regular"/>
          <w:b/>
          <w:bCs/>
          <w:sz w:val="22"/>
          <w:szCs w:val="22"/>
        </w:rPr>
      </w:pPr>
      <w:r>
        <w:rPr>
          <w:rFonts w:ascii="StobiSerif Regular" w:hAnsi="StobiSerif Regular"/>
          <w:bCs/>
          <w:sz w:val="22"/>
          <w:szCs w:val="22"/>
        </w:rPr>
        <w:br w:type="page"/>
      </w:r>
    </w:p>
    <w:p w14:paraId="38E01EF4" w14:textId="77777777" w:rsidR="00D9274B" w:rsidRPr="00B2743A" w:rsidRDefault="00D9274B" w:rsidP="00CA234E">
      <w:pPr>
        <w:jc w:val="both"/>
        <w:rPr>
          <w:rFonts w:ascii="StobiSerif Regular" w:hAnsi="StobiSerif Regular"/>
          <w:b/>
          <w:bCs/>
          <w:sz w:val="22"/>
          <w:szCs w:val="22"/>
        </w:rPr>
      </w:pPr>
    </w:p>
    <w:p w14:paraId="73267CA9" w14:textId="620C3D3C" w:rsidR="00661438" w:rsidRDefault="00661438" w:rsidP="00CA234E">
      <w:pPr>
        <w:jc w:val="both"/>
        <w:rPr>
          <w:rFonts w:ascii="StobiSerif Regular" w:hAnsi="StobiSerif Regular"/>
          <w:b/>
          <w:bCs/>
          <w:sz w:val="22"/>
          <w:szCs w:val="22"/>
        </w:rPr>
      </w:pPr>
      <w:r w:rsidRPr="00661438">
        <w:rPr>
          <w:rFonts w:ascii="StobiSerif Regular" w:hAnsi="StobiSerif Regular"/>
          <w:bCs/>
          <w:sz w:val="22"/>
          <w:szCs w:val="22"/>
        </w:rPr>
        <w:t xml:space="preserve">Rezultatet e mëposhtme janë marrë nga </w:t>
      </w:r>
      <w:r>
        <w:rPr>
          <w:rFonts w:ascii="StobiSerif Regular" w:hAnsi="StobiSerif Regular"/>
          <w:bCs/>
          <w:sz w:val="22"/>
          <w:szCs w:val="22"/>
          <w:lang w:val="sq-AL"/>
        </w:rPr>
        <w:t>poseduesit</w:t>
      </w:r>
      <w:r w:rsidRPr="00661438">
        <w:rPr>
          <w:rFonts w:ascii="StobiSerif Regular" w:hAnsi="StobiSerif Regular"/>
          <w:bCs/>
          <w:sz w:val="22"/>
          <w:szCs w:val="22"/>
        </w:rPr>
        <w:t xml:space="preserve"> e monitoruar për pu</w:t>
      </w:r>
      <w:r w:rsidR="00F104E1">
        <w:rPr>
          <w:rFonts w:ascii="StobiSerif Regular" w:hAnsi="StobiSerif Regular"/>
          <w:bCs/>
          <w:sz w:val="22"/>
          <w:szCs w:val="22"/>
        </w:rPr>
        <w:t>blikimin e tyre të informacion</w:t>
      </w:r>
      <w:r w:rsidR="00F104E1">
        <w:rPr>
          <w:rFonts w:ascii="StobiSerif Regular" w:hAnsi="StobiSerif Regular"/>
          <w:bCs/>
          <w:sz w:val="22"/>
          <w:szCs w:val="22"/>
          <w:lang w:val="sq-AL"/>
        </w:rPr>
        <w:t>eve me karakter</w:t>
      </w:r>
      <w:r w:rsidRPr="00661438">
        <w:rPr>
          <w:rFonts w:ascii="StobiSerif Regular" w:hAnsi="StobiSerif Regular"/>
          <w:bCs/>
          <w:sz w:val="22"/>
          <w:szCs w:val="22"/>
        </w:rPr>
        <w:t xml:space="preserve"> publik në faqet e internetit:</w:t>
      </w:r>
    </w:p>
    <w:p w14:paraId="079FCDB5" w14:textId="77777777" w:rsidR="00661438" w:rsidRDefault="00661438" w:rsidP="00CA234E">
      <w:pPr>
        <w:jc w:val="both"/>
        <w:rPr>
          <w:rFonts w:ascii="StobiSerif Regular" w:hAnsi="StobiSerif Regular"/>
          <w:b/>
          <w:bCs/>
          <w:sz w:val="22"/>
          <w:szCs w:val="22"/>
        </w:rPr>
      </w:pPr>
    </w:p>
    <w:p w14:paraId="03E206C0" w14:textId="77777777" w:rsidR="00B2743A" w:rsidRPr="00B2743A" w:rsidRDefault="00B2743A" w:rsidP="00CA234E">
      <w:pPr>
        <w:jc w:val="both"/>
        <w:rPr>
          <w:rFonts w:ascii="StobiSerif Regular" w:hAnsi="StobiSerif Regular"/>
          <w:b/>
          <w:bCs/>
          <w:sz w:val="22"/>
          <w:szCs w:val="22"/>
        </w:rPr>
      </w:pPr>
    </w:p>
    <w:p w14:paraId="7AB6C3BF" w14:textId="5F325E98" w:rsidR="00BC1409" w:rsidRPr="00B2743A" w:rsidRDefault="00777414" w:rsidP="00EA77A8">
      <w:pPr>
        <w:jc w:val="center"/>
        <w:rPr>
          <w:rFonts w:ascii="StobiSerif Regular" w:hAnsi="StobiSerif Regular"/>
          <w:b/>
          <w:bCs/>
          <w:sz w:val="22"/>
          <w:szCs w:val="22"/>
        </w:rPr>
      </w:pPr>
      <w:r w:rsidRPr="00777414">
        <w:rPr>
          <w:noProof/>
          <w:lang w:val="sq-AL" w:eastAsia="sq-AL"/>
        </w:rPr>
        <w:drawing>
          <wp:inline distT="0" distB="0" distL="0" distR="0" wp14:anchorId="617A978D" wp14:editId="73DBF79E">
            <wp:extent cx="4381500" cy="6263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6263640"/>
                    </a:xfrm>
                    <a:prstGeom prst="rect">
                      <a:avLst/>
                    </a:prstGeom>
                    <a:noFill/>
                    <a:ln>
                      <a:noFill/>
                    </a:ln>
                  </pic:spPr>
                </pic:pic>
              </a:graphicData>
            </a:graphic>
          </wp:inline>
        </w:drawing>
      </w:r>
    </w:p>
    <w:p w14:paraId="5DCBCF69" w14:textId="58C6B68D" w:rsidR="00B2743A" w:rsidRDefault="00B2743A" w:rsidP="00CA234E">
      <w:pPr>
        <w:jc w:val="both"/>
        <w:rPr>
          <w:rFonts w:ascii="StobiSerif Regular" w:hAnsi="StobiSerif Regular"/>
          <w:b/>
          <w:bCs/>
          <w:sz w:val="22"/>
          <w:szCs w:val="22"/>
        </w:rPr>
      </w:pPr>
    </w:p>
    <w:p w14:paraId="5A562A98" w14:textId="36ACEE39" w:rsidR="00D9274B" w:rsidRDefault="00D9274B">
      <w:pPr>
        <w:jc w:val="both"/>
        <w:rPr>
          <w:rFonts w:ascii="StobiSerif Regular" w:hAnsi="StobiSerif Regular"/>
          <w:b/>
          <w:bCs/>
          <w:sz w:val="22"/>
          <w:szCs w:val="22"/>
        </w:rPr>
      </w:pPr>
      <w:r>
        <w:rPr>
          <w:rFonts w:ascii="StobiSerif Regular" w:hAnsi="StobiSerif Regular"/>
          <w:bCs/>
          <w:sz w:val="22"/>
          <w:szCs w:val="22"/>
        </w:rPr>
        <w:br w:type="page"/>
      </w:r>
    </w:p>
    <w:p w14:paraId="3D610C9B" w14:textId="187AF6C5" w:rsidR="00BC1409" w:rsidRPr="00F104E1" w:rsidRDefault="00F104E1" w:rsidP="00CA234E">
      <w:pPr>
        <w:jc w:val="both"/>
        <w:rPr>
          <w:rFonts w:ascii="StobiSerif Regular" w:hAnsi="StobiSerif Regular"/>
          <w:b/>
          <w:bCs/>
          <w:sz w:val="22"/>
          <w:szCs w:val="22"/>
          <w:lang w:val="sq-AL"/>
        </w:rPr>
      </w:pPr>
      <w:r>
        <w:rPr>
          <w:rFonts w:ascii="StobiSerif Regular" w:hAnsi="StobiSerif Regular"/>
          <w:bCs/>
          <w:sz w:val="22"/>
          <w:szCs w:val="22"/>
          <w:lang w:val="sq-AL"/>
        </w:rPr>
        <w:lastRenderedPageBreak/>
        <w:t>Nga organet në përbërje pesë institucionet më të mira janë:</w:t>
      </w:r>
    </w:p>
    <w:p w14:paraId="3C07EC87" w14:textId="77777777" w:rsidR="00752FE5" w:rsidRPr="00B2743A" w:rsidRDefault="00752FE5" w:rsidP="00CA234E">
      <w:pPr>
        <w:jc w:val="both"/>
        <w:rPr>
          <w:rFonts w:ascii="StobiSerif Regular" w:hAnsi="StobiSerif Regular"/>
          <w:b/>
          <w:bCs/>
          <w:sz w:val="22"/>
          <w:szCs w:val="22"/>
        </w:rPr>
      </w:pPr>
    </w:p>
    <w:p w14:paraId="32F02F60" w14:textId="58D32DCD" w:rsidR="00067B58" w:rsidRPr="00B2743A" w:rsidRDefault="0032607E" w:rsidP="00386E96">
      <w:pPr>
        <w:jc w:val="both"/>
        <w:rPr>
          <w:rFonts w:ascii="StobiSerif Regular" w:hAnsi="StobiSerif Regular"/>
          <w:b/>
          <w:bCs/>
          <w:sz w:val="22"/>
          <w:szCs w:val="22"/>
        </w:rPr>
      </w:pPr>
      <w:bookmarkStart w:id="0" w:name="_GoBack"/>
      <w:r>
        <w:rPr>
          <w:rFonts w:ascii="StobiSerif Regular" w:hAnsi="StobiSerif Regular"/>
          <w:b/>
          <w:bCs/>
          <w:noProof/>
          <w:sz w:val="22"/>
          <w:szCs w:val="22"/>
          <w:lang w:val="sq-AL" w:eastAsia="sq-AL"/>
        </w:rPr>
        <w:drawing>
          <wp:inline distT="0" distB="0" distL="0" distR="0" wp14:anchorId="337AF23D" wp14:editId="0A8B28DF">
            <wp:extent cx="5886450" cy="2543175"/>
            <wp:effectExtent l="0" t="0" r="0" b="9525"/>
            <wp:docPr id="1804910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2543175"/>
                    </a:xfrm>
                    <a:prstGeom prst="rect">
                      <a:avLst/>
                    </a:prstGeom>
                    <a:noFill/>
                  </pic:spPr>
                </pic:pic>
              </a:graphicData>
            </a:graphic>
          </wp:inline>
        </w:drawing>
      </w:r>
      <w:bookmarkEnd w:id="0"/>
    </w:p>
    <w:p w14:paraId="3883CE4B" w14:textId="77777777" w:rsidR="00541BAC" w:rsidRPr="00B2743A" w:rsidRDefault="00541BAC" w:rsidP="00386E96">
      <w:pPr>
        <w:jc w:val="both"/>
        <w:rPr>
          <w:rFonts w:ascii="StobiSerif Regular" w:hAnsi="StobiSerif Regular"/>
          <w:b/>
          <w:bCs/>
          <w:sz w:val="22"/>
          <w:szCs w:val="22"/>
        </w:rPr>
      </w:pPr>
    </w:p>
    <w:p w14:paraId="2326C8F6" w14:textId="77777777" w:rsidR="00F104E1" w:rsidRPr="00F104E1" w:rsidRDefault="00F104E1" w:rsidP="00F104E1">
      <w:pPr>
        <w:jc w:val="both"/>
        <w:rPr>
          <w:rFonts w:ascii="StobiSerif Regular" w:hAnsi="StobiSerif Regular"/>
          <w:b/>
          <w:bCs/>
          <w:sz w:val="22"/>
          <w:szCs w:val="22"/>
        </w:rPr>
      </w:pPr>
      <w:r w:rsidRPr="00F104E1">
        <w:rPr>
          <w:rFonts w:ascii="StobiSerif Regular" w:hAnsi="StobiSerif Regular"/>
          <w:bCs/>
          <w:sz w:val="22"/>
          <w:szCs w:val="22"/>
        </w:rPr>
        <w:t>Duhet të theksojmë se monitorimi nuk analizon përmbajtjen, përkatësisht cilësinë e informacionit të publikuar.</w:t>
      </w:r>
    </w:p>
    <w:p w14:paraId="21F83A45" w14:textId="12E9C186" w:rsidR="00F104E1" w:rsidRPr="00F104E1" w:rsidRDefault="00F104E1" w:rsidP="00F104E1">
      <w:pPr>
        <w:jc w:val="both"/>
        <w:rPr>
          <w:rFonts w:ascii="StobiSerif Regular" w:hAnsi="StobiSerif Regular"/>
          <w:b/>
          <w:bCs/>
          <w:sz w:val="22"/>
          <w:szCs w:val="22"/>
        </w:rPr>
      </w:pPr>
      <w:r w:rsidRPr="00F104E1">
        <w:rPr>
          <w:rFonts w:ascii="StobiSerif Regular" w:hAnsi="StobiSerif Regular"/>
          <w:bCs/>
          <w:sz w:val="22"/>
          <w:szCs w:val="22"/>
        </w:rPr>
        <w:t xml:space="preserve">Nëpërmjet monitorimit të ueb faqeve të </w:t>
      </w:r>
      <w:r>
        <w:rPr>
          <w:rFonts w:ascii="StobiSerif Regular" w:hAnsi="StobiSerif Regular"/>
          <w:bCs/>
          <w:sz w:val="22"/>
          <w:szCs w:val="22"/>
          <w:lang w:val="sq-AL"/>
        </w:rPr>
        <w:t>poseduesve</w:t>
      </w:r>
      <w:r>
        <w:rPr>
          <w:rFonts w:ascii="StobiSerif Regular" w:hAnsi="StobiSerif Regular"/>
          <w:bCs/>
          <w:sz w:val="22"/>
          <w:szCs w:val="22"/>
        </w:rPr>
        <w:t xml:space="preserve">, </w:t>
      </w:r>
      <w:r>
        <w:rPr>
          <w:rFonts w:ascii="StobiSerif Regular" w:hAnsi="StobiSerif Regular"/>
          <w:bCs/>
          <w:sz w:val="22"/>
          <w:szCs w:val="22"/>
          <w:lang w:val="sq-AL"/>
        </w:rPr>
        <w:t>A</w:t>
      </w:r>
      <w:r w:rsidRPr="00F104E1">
        <w:rPr>
          <w:rFonts w:ascii="StobiSerif Regular" w:hAnsi="StobiSerif Regular"/>
          <w:bCs/>
          <w:sz w:val="22"/>
          <w:szCs w:val="22"/>
        </w:rPr>
        <w:t xml:space="preserve">gjencia merr të dhëna se sa nga </w:t>
      </w:r>
      <w:r>
        <w:rPr>
          <w:rFonts w:ascii="StobiSerif Regular" w:hAnsi="StobiSerif Regular"/>
          <w:bCs/>
          <w:sz w:val="22"/>
          <w:szCs w:val="22"/>
          <w:lang w:val="sq-AL"/>
        </w:rPr>
        <w:t>poseduesit</w:t>
      </w:r>
      <w:r w:rsidRPr="00F104E1">
        <w:rPr>
          <w:rFonts w:ascii="StobiSerif Regular" w:hAnsi="StobiSerif Regular"/>
          <w:bCs/>
          <w:sz w:val="22"/>
          <w:szCs w:val="22"/>
        </w:rPr>
        <w:t xml:space="preserve"> janë transparentë në zbatimin e nenit 10 të </w:t>
      </w:r>
      <w:r>
        <w:rPr>
          <w:rFonts w:ascii="StobiSerif Regular" w:hAnsi="StobiSerif Regular"/>
          <w:bCs/>
          <w:sz w:val="22"/>
          <w:szCs w:val="22"/>
          <w:lang w:val="sq-AL"/>
        </w:rPr>
        <w:t>LQLIKP</w:t>
      </w:r>
      <w:r w:rsidRPr="00F104E1">
        <w:rPr>
          <w:rFonts w:ascii="StobiSerif Regular" w:hAnsi="StobiSerif Regular"/>
          <w:bCs/>
          <w:sz w:val="22"/>
          <w:szCs w:val="22"/>
        </w:rPr>
        <w:t xml:space="preserve">-së dhe të njëjtat përdoren për të përcaktuar trajnimet që zhvillon për </w:t>
      </w:r>
      <w:r>
        <w:rPr>
          <w:rFonts w:ascii="StobiSerif Regular" w:hAnsi="StobiSerif Regular"/>
          <w:bCs/>
          <w:sz w:val="22"/>
          <w:szCs w:val="22"/>
          <w:lang w:val="sq-AL"/>
        </w:rPr>
        <w:t xml:space="preserve">personat </w:t>
      </w:r>
      <w:r w:rsidRPr="00F104E1">
        <w:rPr>
          <w:rFonts w:ascii="StobiSerif Regular" w:hAnsi="StobiSerif Regular"/>
          <w:bCs/>
          <w:sz w:val="22"/>
          <w:szCs w:val="22"/>
        </w:rPr>
        <w:t>zyrtarë</w:t>
      </w:r>
      <w:r>
        <w:rPr>
          <w:rFonts w:ascii="StobiSerif Regular" w:hAnsi="StobiSerif Regular"/>
          <w:bCs/>
          <w:sz w:val="22"/>
          <w:szCs w:val="22"/>
          <w:lang w:val="sq-AL"/>
        </w:rPr>
        <w:t xml:space="preserve"> tek</w:t>
      </w:r>
      <w:r w:rsidRPr="00F104E1">
        <w:rPr>
          <w:rFonts w:ascii="StobiSerif Regular" w:hAnsi="StobiSerif Regular"/>
          <w:bCs/>
          <w:sz w:val="22"/>
          <w:szCs w:val="22"/>
        </w:rPr>
        <w:t xml:space="preserve"> institucione</w:t>
      </w:r>
      <w:r>
        <w:rPr>
          <w:rFonts w:ascii="StobiSerif Regular" w:hAnsi="StobiSerif Regular"/>
          <w:bCs/>
          <w:sz w:val="22"/>
          <w:szCs w:val="22"/>
          <w:lang w:val="sq-AL"/>
        </w:rPr>
        <w:t>t, me qëllim</w:t>
      </w:r>
      <w:r w:rsidRPr="00F104E1">
        <w:rPr>
          <w:rFonts w:ascii="StobiSerif Regular" w:hAnsi="StobiSerif Regular"/>
          <w:bCs/>
          <w:sz w:val="22"/>
          <w:szCs w:val="22"/>
        </w:rPr>
        <w:t xml:space="preserve"> për t'u treguar atyre se si të përmirësojnë transparencën e tyre.</w:t>
      </w:r>
    </w:p>
    <w:p w14:paraId="4AE025AF" w14:textId="296C2BAF" w:rsidR="00F104E1" w:rsidRPr="00F104E1" w:rsidRDefault="00F104E1" w:rsidP="00F104E1">
      <w:pPr>
        <w:jc w:val="both"/>
        <w:rPr>
          <w:rFonts w:ascii="StobiSerif Regular" w:hAnsi="StobiSerif Regular"/>
          <w:b/>
          <w:bCs/>
          <w:sz w:val="22"/>
          <w:szCs w:val="22"/>
        </w:rPr>
      </w:pPr>
      <w:r>
        <w:rPr>
          <w:rFonts w:ascii="StobiSerif Regular" w:hAnsi="StobiSerif Regular"/>
          <w:bCs/>
          <w:sz w:val="22"/>
          <w:szCs w:val="22"/>
          <w:lang w:val="sq-AL"/>
        </w:rPr>
        <w:t>Poseduesit</w:t>
      </w:r>
      <w:r w:rsidRPr="00F104E1">
        <w:rPr>
          <w:rFonts w:ascii="StobiSerif Regular" w:hAnsi="StobiSerif Regular"/>
          <w:bCs/>
          <w:sz w:val="22"/>
          <w:szCs w:val="22"/>
        </w:rPr>
        <w:t xml:space="preserve"> duhet të publikojnë në mënyrë proa</w:t>
      </w:r>
      <w:r>
        <w:rPr>
          <w:rFonts w:ascii="StobiSerif Regular" w:hAnsi="StobiSerif Regular"/>
          <w:bCs/>
          <w:sz w:val="22"/>
          <w:szCs w:val="22"/>
        </w:rPr>
        <w:t xml:space="preserve">ktive të gjitha informacionet </w:t>
      </w:r>
      <w:r>
        <w:rPr>
          <w:rFonts w:ascii="StobiSerif Regular" w:hAnsi="StobiSerif Regular"/>
          <w:bCs/>
          <w:sz w:val="22"/>
          <w:szCs w:val="22"/>
          <w:lang w:val="sq-AL"/>
        </w:rPr>
        <w:t xml:space="preserve">me karakter </w:t>
      </w:r>
      <w:r w:rsidRPr="00F104E1">
        <w:rPr>
          <w:rFonts w:ascii="StobiSerif Regular" w:hAnsi="StobiSerif Regular"/>
          <w:bCs/>
          <w:sz w:val="22"/>
          <w:szCs w:val="22"/>
        </w:rPr>
        <w:t>publike sa më shumë që të jetë e mundur, dhe informacioni i publikuar duhet të jetë lehtësisht i aksesueshëm për pjesën më të gjerë të qytetarëve/kërkuesve të informacionit.</w:t>
      </w:r>
    </w:p>
    <w:p w14:paraId="1FC559FB" w14:textId="65F8FAA9" w:rsidR="00F104E1" w:rsidRDefault="00F104E1" w:rsidP="00F104E1">
      <w:pPr>
        <w:jc w:val="both"/>
        <w:rPr>
          <w:rFonts w:ascii="StobiSerif Regular" w:hAnsi="StobiSerif Regular"/>
          <w:b/>
          <w:bCs/>
          <w:sz w:val="22"/>
          <w:szCs w:val="22"/>
        </w:rPr>
      </w:pPr>
      <w:r w:rsidRPr="00F104E1">
        <w:rPr>
          <w:rFonts w:ascii="StobiSerif Regular" w:hAnsi="StobiSerif Regular"/>
          <w:bCs/>
          <w:sz w:val="22"/>
          <w:szCs w:val="22"/>
        </w:rPr>
        <w:t xml:space="preserve">Gjithashtu, me transparencë proaktive, </w:t>
      </w:r>
      <w:r>
        <w:rPr>
          <w:rFonts w:ascii="StobiSerif Regular" w:hAnsi="StobiSerif Regular"/>
          <w:bCs/>
          <w:sz w:val="22"/>
          <w:szCs w:val="22"/>
          <w:lang w:val="sq-AL"/>
        </w:rPr>
        <w:t>poseduesit</w:t>
      </w:r>
      <w:r w:rsidRPr="00F104E1">
        <w:rPr>
          <w:rFonts w:ascii="StobiSerif Regular" w:hAnsi="StobiSerif Regular"/>
          <w:bCs/>
          <w:sz w:val="22"/>
          <w:szCs w:val="22"/>
        </w:rPr>
        <w:t xml:space="preserve"> e informacionit duhet të informojnë qytetarët për informacionin që publikojnë dhe të inkurajojnë </w:t>
      </w:r>
      <w:r>
        <w:rPr>
          <w:rFonts w:ascii="StobiSerif Regular" w:hAnsi="StobiSerif Regular"/>
          <w:bCs/>
          <w:sz w:val="22"/>
          <w:szCs w:val="22"/>
          <w:lang w:val="sq-AL"/>
        </w:rPr>
        <w:t>qasjen</w:t>
      </w:r>
      <w:r w:rsidRPr="00F104E1">
        <w:rPr>
          <w:rFonts w:ascii="StobiSerif Regular" w:hAnsi="StobiSerif Regular"/>
          <w:bCs/>
          <w:sz w:val="22"/>
          <w:szCs w:val="22"/>
        </w:rPr>
        <w:t xml:space="preserve"> në të. </w:t>
      </w:r>
      <w:r>
        <w:rPr>
          <w:rFonts w:ascii="StobiSerif Regular" w:hAnsi="StobiSerif Regular"/>
          <w:bCs/>
          <w:sz w:val="22"/>
          <w:szCs w:val="22"/>
          <w:lang w:val="sq-AL"/>
        </w:rPr>
        <w:t>Poseduesit</w:t>
      </w:r>
      <w:r w:rsidRPr="00F104E1">
        <w:rPr>
          <w:rFonts w:ascii="StobiSerif Regular" w:hAnsi="StobiSerif Regular"/>
          <w:bCs/>
          <w:sz w:val="22"/>
          <w:szCs w:val="22"/>
        </w:rPr>
        <w:t xml:space="preserve"> duhet të përditësojnë rregullisht të dhënat që publikojnë në përputhje me nenin 10 të Ligjit, gjë që do të përmirësojë transparencën proaktive, dhe në këtë mënyrë do të afrojë dhe hapë të dhënat që lidhen me punën dhe veprimtarinë e tyre.</w:t>
      </w:r>
    </w:p>
    <w:p w14:paraId="10582976" w14:textId="77777777" w:rsidR="00F104E1" w:rsidRDefault="00F104E1" w:rsidP="007614E2">
      <w:pPr>
        <w:jc w:val="both"/>
        <w:rPr>
          <w:rFonts w:ascii="StobiSerif Regular" w:hAnsi="StobiSerif Regular"/>
          <w:b/>
          <w:bCs/>
          <w:sz w:val="22"/>
          <w:szCs w:val="22"/>
        </w:rPr>
      </w:pPr>
    </w:p>
    <w:p w14:paraId="0F2F790C" w14:textId="1CC9B30B" w:rsidR="00751BF3" w:rsidRDefault="00F104E1" w:rsidP="007614E2">
      <w:pPr>
        <w:jc w:val="both"/>
        <w:rPr>
          <w:rFonts w:ascii="StobiSerif Regular" w:hAnsi="StobiSerif Regular"/>
          <w:bCs/>
          <w:sz w:val="22"/>
          <w:szCs w:val="22"/>
          <w:lang w:val="sq-AL"/>
        </w:rPr>
      </w:pPr>
      <w:r>
        <w:rPr>
          <w:rFonts w:ascii="StobiSerif Regular" w:hAnsi="StobiSerif Regular"/>
          <w:bCs/>
          <w:sz w:val="22"/>
          <w:szCs w:val="22"/>
          <w:lang w:val="sq-AL"/>
        </w:rPr>
        <w:t>Përpunuan:</w:t>
      </w:r>
    </w:p>
    <w:p w14:paraId="00E67861" w14:textId="3A4E7DBF" w:rsidR="00F104E1" w:rsidRDefault="00F104E1" w:rsidP="007614E2">
      <w:pPr>
        <w:jc w:val="both"/>
        <w:rPr>
          <w:rFonts w:ascii="StobiSerif Regular" w:hAnsi="StobiSerif Regular"/>
          <w:bCs/>
          <w:sz w:val="22"/>
          <w:szCs w:val="22"/>
          <w:lang w:val="sq-AL"/>
        </w:rPr>
      </w:pPr>
      <w:r>
        <w:rPr>
          <w:rFonts w:ascii="StobiSerif Regular" w:hAnsi="StobiSerif Regular"/>
          <w:bCs/>
          <w:sz w:val="22"/>
          <w:szCs w:val="22"/>
          <w:lang w:val="sq-AL"/>
        </w:rPr>
        <w:t>Mellani Ibraimi</w:t>
      </w:r>
    </w:p>
    <w:p w14:paraId="703AD8B5" w14:textId="144227FE" w:rsidR="00F104E1" w:rsidRDefault="00F104E1" w:rsidP="007614E2">
      <w:pPr>
        <w:jc w:val="both"/>
        <w:rPr>
          <w:rFonts w:ascii="StobiSerif Regular" w:hAnsi="StobiSerif Regular"/>
          <w:bCs/>
          <w:sz w:val="22"/>
          <w:szCs w:val="22"/>
          <w:lang w:val="sq-AL"/>
        </w:rPr>
      </w:pPr>
      <w:r>
        <w:rPr>
          <w:rFonts w:ascii="StobiSerif Regular" w:hAnsi="StobiSerif Regular"/>
          <w:bCs/>
          <w:sz w:val="22"/>
          <w:szCs w:val="22"/>
          <w:lang w:val="sq-AL"/>
        </w:rPr>
        <w:t>Oliver Serafimovski</w:t>
      </w:r>
    </w:p>
    <w:p w14:paraId="4904F57E" w14:textId="10BB4214" w:rsidR="00F104E1" w:rsidRDefault="00F104E1" w:rsidP="007614E2">
      <w:pPr>
        <w:jc w:val="both"/>
        <w:rPr>
          <w:rFonts w:ascii="StobiSerif Regular" w:hAnsi="StobiSerif Regular"/>
          <w:bCs/>
          <w:sz w:val="22"/>
          <w:szCs w:val="22"/>
          <w:lang w:val="sq-AL"/>
        </w:rPr>
      </w:pPr>
    </w:p>
    <w:p w14:paraId="7AE2BAAD" w14:textId="478FF3A7" w:rsidR="00F104E1" w:rsidRDefault="00F104E1" w:rsidP="007614E2">
      <w:pPr>
        <w:jc w:val="both"/>
        <w:rPr>
          <w:rFonts w:ascii="StobiSerif Regular" w:hAnsi="StobiSerif Regular"/>
          <w:bCs/>
          <w:sz w:val="22"/>
          <w:szCs w:val="22"/>
          <w:lang w:val="sq-AL"/>
        </w:rPr>
      </w:pPr>
      <w:r>
        <w:rPr>
          <w:rFonts w:ascii="StobiSerif Regular" w:hAnsi="StobiSerif Regular"/>
          <w:bCs/>
          <w:sz w:val="22"/>
          <w:szCs w:val="22"/>
          <w:lang w:val="sq-AL"/>
        </w:rPr>
        <w:t>Përktheu:</w:t>
      </w:r>
    </w:p>
    <w:p w14:paraId="788316B8" w14:textId="4C7DB326" w:rsidR="00F104E1" w:rsidRPr="00B2743A" w:rsidRDefault="00F104E1" w:rsidP="00F104E1">
      <w:pPr>
        <w:jc w:val="both"/>
        <w:rPr>
          <w:rFonts w:ascii="StobiSerif Regular" w:hAnsi="StobiSerif Regular"/>
          <w:sz w:val="22"/>
          <w:szCs w:val="22"/>
          <w:lang w:val="en-US"/>
        </w:rPr>
      </w:pPr>
      <w:r>
        <w:rPr>
          <w:rFonts w:ascii="StobiSerif Regular" w:hAnsi="StobiSerif Regular"/>
          <w:bCs/>
          <w:sz w:val="22"/>
          <w:szCs w:val="22"/>
          <w:lang w:val="sq-AL"/>
        </w:rPr>
        <w:t>m-r Valon Mustafa</w:t>
      </w:r>
    </w:p>
    <w:p w14:paraId="451A5506" w14:textId="64825528" w:rsidR="00BC1409" w:rsidRPr="00B2743A" w:rsidRDefault="00BC1409" w:rsidP="007614E2">
      <w:pPr>
        <w:jc w:val="both"/>
        <w:rPr>
          <w:rFonts w:ascii="StobiSerif Regular" w:hAnsi="StobiSerif Regular"/>
          <w:sz w:val="22"/>
          <w:szCs w:val="22"/>
          <w:lang w:val="en-US"/>
        </w:rPr>
      </w:pPr>
    </w:p>
    <w:sectPr w:rsidR="00BC1409" w:rsidRPr="00B2743A" w:rsidSect="00CB25A1">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0FD8" w14:textId="77777777" w:rsidR="007B4612" w:rsidRDefault="007B4612" w:rsidP="00764DAA">
      <w:r>
        <w:separator/>
      </w:r>
    </w:p>
  </w:endnote>
  <w:endnote w:type="continuationSeparator" w:id="0">
    <w:p w14:paraId="18F7B3B7" w14:textId="77777777" w:rsidR="007B4612" w:rsidRDefault="007B4612" w:rsidP="007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92190"/>
      <w:docPartObj>
        <w:docPartGallery w:val="Page Numbers (Bottom of Page)"/>
        <w:docPartUnique/>
      </w:docPartObj>
    </w:sdtPr>
    <w:sdtEndPr>
      <w:rPr>
        <w:noProof/>
      </w:rPr>
    </w:sdtEndPr>
    <w:sdtContent>
      <w:p w14:paraId="74D4A30D" w14:textId="6959A7C0" w:rsidR="00CB25A1" w:rsidRDefault="00CB25A1">
        <w:pPr>
          <w:pStyle w:val="Footer"/>
          <w:jc w:val="right"/>
        </w:pPr>
        <w:r>
          <w:fldChar w:fldCharType="begin"/>
        </w:r>
        <w:r>
          <w:instrText xml:space="preserve"> PAGE   \* MERGEFORMAT </w:instrText>
        </w:r>
        <w:r>
          <w:fldChar w:fldCharType="separate"/>
        </w:r>
        <w:r w:rsidR="00D47DCD">
          <w:rPr>
            <w:noProof/>
          </w:rPr>
          <w:t>6</w:t>
        </w:r>
        <w:r>
          <w:rPr>
            <w:noProof/>
          </w:rPr>
          <w:fldChar w:fldCharType="end"/>
        </w:r>
      </w:p>
    </w:sdtContent>
  </w:sdt>
  <w:p w14:paraId="718B3FFE" w14:textId="77777777" w:rsidR="00764DAA" w:rsidRDefault="0076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5C05" w14:textId="77777777" w:rsidR="007B4612" w:rsidRDefault="007B4612" w:rsidP="00764DAA">
      <w:r>
        <w:separator/>
      </w:r>
    </w:p>
  </w:footnote>
  <w:footnote w:type="continuationSeparator" w:id="0">
    <w:p w14:paraId="26CE2C03" w14:textId="77777777" w:rsidR="007B4612" w:rsidRDefault="007B4612" w:rsidP="00764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96"/>
    <w:rsid w:val="000307DA"/>
    <w:rsid w:val="00052D46"/>
    <w:rsid w:val="00067B58"/>
    <w:rsid w:val="0008693A"/>
    <w:rsid w:val="000A6C14"/>
    <w:rsid w:val="000B032D"/>
    <w:rsid w:val="000D2BEB"/>
    <w:rsid w:val="000E6F0A"/>
    <w:rsid w:val="00104E7C"/>
    <w:rsid w:val="0011132C"/>
    <w:rsid w:val="00146ADA"/>
    <w:rsid w:val="0016148D"/>
    <w:rsid w:val="00170BBB"/>
    <w:rsid w:val="00181F9B"/>
    <w:rsid w:val="001A42F8"/>
    <w:rsid w:val="001D1690"/>
    <w:rsid w:val="001F3E92"/>
    <w:rsid w:val="00201C77"/>
    <w:rsid w:val="00207957"/>
    <w:rsid w:val="002202B4"/>
    <w:rsid w:val="002351C2"/>
    <w:rsid w:val="0024473E"/>
    <w:rsid w:val="0025224D"/>
    <w:rsid w:val="0028441A"/>
    <w:rsid w:val="0028590B"/>
    <w:rsid w:val="00290C60"/>
    <w:rsid w:val="00295311"/>
    <w:rsid w:val="003010D0"/>
    <w:rsid w:val="00323AD9"/>
    <w:rsid w:val="0032607E"/>
    <w:rsid w:val="00372641"/>
    <w:rsid w:val="003738E9"/>
    <w:rsid w:val="00373A3B"/>
    <w:rsid w:val="00386E96"/>
    <w:rsid w:val="003C6EB9"/>
    <w:rsid w:val="003E493E"/>
    <w:rsid w:val="003F30E8"/>
    <w:rsid w:val="004101DE"/>
    <w:rsid w:val="00474DF1"/>
    <w:rsid w:val="00477FF1"/>
    <w:rsid w:val="00486D0A"/>
    <w:rsid w:val="004950C3"/>
    <w:rsid w:val="004B7FBA"/>
    <w:rsid w:val="004C7AF3"/>
    <w:rsid w:val="004E7C54"/>
    <w:rsid w:val="00520F59"/>
    <w:rsid w:val="005217A8"/>
    <w:rsid w:val="005217AB"/>
    <w:rsid w:val="005277FD"/>
    <w:rsid w:val="00541BAC"/>
    <w:rsid w:val="00544E82"/>
    <w:rsid w:val="005711C7"/>
    <w:rsid w:val="00597BFF"/>
    <w:rsid w:val="005C6CD7"/>
    <w:rsid w:val="006145BC"/>
    <w:rsid w:val="006273FD"/>
    <w:rsid w:val="00630364"/>
    <w:rsid w:val="00636E5E"/>
    <w:rsid w:val="006419DD"/>
    <w:rsid w:val="00661438"/>
    <w:rsid w:val="006E0767"/>
    <w:rsid w:val="006E12D6"/>
    <w:rsid w:val="006E46F0"/>
    <w:rsid w:val="006E69F7"/>
    <w:rsid w:val="00700F39"/>
    <w:rsid w:val="00704975"/>
    <w:rsid w:val="0070500C"/>
    <w:rsid w:val="007509E0"/>
    <w:rsid w:val="00751BF3"/>
    <w:rsid w:val="00752FE5"/>
    <w:rsid w:val="007614E2"/>
    <w:rsid w:val="00764DAA"/>
    <w:rsid w:val="00775EDE"/>
    <w:rsid w:val="00777414"/>
    <w:rsid w:val="007B162D"/>
    <w:rsid w:val="007B4612"/>
    <w:rsid w:val="007B56C6"/>
    <w:rsid w:val="00803F68"/>
    <w:rsid w:val="00816A07"/>
    <w:rsid w:val="008315F2"/>
    <w:rsid w:val="008500EE"/>
    <w:rsid w:val="00865240"/>
    <w:rsid w:val="008B792E"/>
    <w:rsid w:val="008C2751"/>
    <w:rsid w:val="008C2B6F"/>
    <w:rsid w:val="009100DB"/>
    <w:rsid w:val="0092771C"/>
    <w:rsid w:val="00974C95"/>
    <w:rsid w:val="009949A0"/>
    <w:rsid w:val="009B5C33"/>
    <w:rsid w:val="009B5E47"/>
    <w:rsid w:val="009C45FB"/>
    <w:rsid w:val="009E2DFA"/>
    <w:rsid w:val="009E5761"/>
    <w:rsid w:val="009E714F"/>
    <w:rsid w:val="009F242C"/>
    <w:rsid w:val="00A02103"/>
    <w:rsid w:val="00A04E7E"/>
    <w:rsid w:val="00A40A0B"/>
    <w:rsid w:val="00A477B9"/>
    <w:rsid w:val="00A656B5"/>
    <w:rsid w:val="00A7254F"/>
    <w:rsid w:val="00A9453A"/>
    <w:rsid w:val="00A961A7"/>
    <w:rsid w:val="00AB2B27"/>
    <w:rsid w:val="00AC0E17"/>
    <w:rsid w:val="00AD5162"/>
    <w:rsid w:val="00B20E95"/>
    <w:rsid w:val="00B2743A"/>
    <w:rsid w:val="00B37D42"/>
    <w:rsid w:val="00B5340A"/>
    <w:rsid w:val="00B63744"/>
    <w:rsid w:val="00B8703B"/>
    <w:rsid w:val="00B90FBE"/>
    <w:rsid w:val="00B94858"/>
    <w:rsid w:val="00BA00FA"/>
    <w:rsid w:val="00BA0E5F"/>
    <w:rsid w:val="00BB66ED"/>
    <w:rsid w:val="00BC1409"/>
    <w:rsid w:val="00BD6ECD"/>
    <w:rsid w:val="00BF292B"/>
    <w:rsid w:val="00BF39B6"/>
    <w:rsid w:val="00BF55D2"/>
    <w:rsid w:val="00C0134C"/>
    <w:rsid w:val="00C17B4A"/>
    <w:rsid w:val="00C35BEC"/>
    <w:rsid w:val="00C515E0"/>
    <w:rsid w:val="00C632FB"/>
    <w:rsid w:val="00C91045"/>
    <w:rsid w:val="00C93027"/>
    <w:rsid w:val="00CA234E"/>
    <w:rsid w:val="00CA4AE8"/>
    <w:rsid w:val="00CB25A1"/>
    <w:rsid w:val="00CD07FE"/>
    <w:rsid w:val="00CD1DAA"/>
    <w:rsid w:val="00CE5F25"/>
    <w:rsid w:val="00D0566E"/>
    <w:rsid w:val="00D11AF9"/>
    <w:rsid w:val="00D14CD7"/>
    <w:rsid w:val="00D161AA"/>
    <w:rsid w:val="00D47DCD"/>
    <w:rsid w:val="00D75FCA"/>
    <w:rsid w:val="00D9274B"/>
    <w:rsid w:val="00DA623A"/>
    <w:rsid w:val="00DB2215"/>
    <w:rsid w:val="00DC35CD"/>
    <w:rsid w:val="00DE4CB2"/>
    <w:rsid w:val="00DE6FA2"/>
    <w:rsid w:val="00E20DCC"/>
    <w:rsid w:val="00E434FF"/>
    <w:rsid w:val="00E52C94"/>
    <w:rsid w:val="00E5642B"/>
    <w:rsid w:val="00E57377"/>
    <w:rsid w:val="00E65DC3"/>
    <w:rsid w:val="00E83AD4"/>
    <w:rsid w:val="00E83D85"/>
    <w:rsid w:val="00E922D0"/>
    <w:rsid w:val="00EA77A8"/>
    <w:rsid w:val="00EC221C"/>
    <w:rsid w:val="00EC6A9D"/>
    <w:rsid w:val="00ED1D09"/>
    <w:rsid w:val="00EE7133"/>
    <w:rsid w:val="00F024BA"/>
    <w:rsid w:val="00F02F70"/>
    <w:rsid w:val="00F104E1"/>
    <w:rsid w:val="00F234D9"/>
    <w:rsid w:val="00F75345"/>
    <w:rsid w:val="00F75D47"/>
    <w:rsid w:val="00F867EB"/>
    <w:rsid w:val="00FC2C1C"/>
    <w:rsid w:val="00FE1B64"/>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450E"/>
  <w15:chartTrackingRefBased/>
  <w15:docId w15:val="{BC21A5A9-5CF4-42A1-97C7-38D7321C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AA"/>
    <w:pPr>
      <w:tabs>
        <w:tab w:val="center" w:pos="4513"/>
        <w:tab w:val="right" w:pos="9026"/>
      </w:tabs>
    </w:pPr>
  </w:style>
  <w:style w:type="character" w:customStyle="1" w:styleId="HeaderChar">
    <w:name w:val="Header Char"/>
    <w:basedOn w:val="DefaultParagraphFont"/>
    <w:link w:val="Header"/>
    <w:uiPriority w:val="99"/>
    <w:rsid w:val="00764DAA"/>
    <w:rPr>
      <w:lang w:val="mk-MK"/>
    </w:rPr>
  </w:style>
  <w:style w:type="paragraph" w:styleId="Footer">
    <w:name w:val="footer"/>
    <w:basedOn w:val="Normal"/>
    <w:link w:val="FooterChar"/>
    <w:uiPriority w:val="99"/>
    <w:unhideWhenUsed/>
    <w:rsid w:val="00764DAA"/>
    <w:pPr>
      <w:tabs>
        <w:tab w:val="center" w:pos="4513"/>
        <w:tab w:val="right" w:pos="9026"/>
      </w:tabs>
    </w:pPr>
  </w:style>
  <w:style w:type="character" w:customStyle="1" w:styleId="FooterChar">
    <w:name w:val="Footer Char"/>
    <w:basedOn w:val="DefaultParagraphFont"/>
    <w:link w:val="Footer"/>
    <w:uiPriority w:val="99"/>
    <w:rsid w:val="00764DAA"/>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937">
      <w:bodyDiv w:val="1"/>
      <w:marLeft w:val="0"/>
      <w:marRight w:val="0"/>
      <w:marTop w:val="0"/>
      <w:marBottom w:val="0"/>
      <w:divBdr>
        <w:top w:val="none" w:sz="0" w:space="0" w:color="auto"/>
        <w:left w:val="none" w:sz="0" w:space="0" w:color="auto"/>
        <w:bottom w:val="none" w:sz="0" w:space="0" w:color="auto"/>
        <w:right w:val="none" w:sz="0" w:space="0" w:color="auto"/>
      </w:divBdr>
    </w:div>
    <w:div w:id="12007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60;&#1048;&#1053;&#1040;&#1051;&#1053;&#1040;%20&#1057;&#1058;&#1040;&#1058;&#1048;&#1057;&#1058;&#1048;&#1050;&#1040;%20&#1044;&#1056;&#1046;&#1040;&#1042;&#1053;&#1048;%20&#1048;&#1053;&#1057;&#1058;&#1048;&#1058;&#1059;&#1062;&#1048;&#1048;%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q-AL"/>
              <a:t>Mesatarja vjetore dhe 5-vjeçare</a:t>
            </a:r>
            <a:endParaRPr lang="en-US"/>
          </a:p>
        </c:rich>
      </c:tx>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q-AL"/>
        </a:p>
      </c:txPr>
    </c:title>
    <c:autoTitleDeleted val="0"/>
    <c:plotArea>
      <c:layout>
        <c:manualLayout>
          <c:layoutTarget val="inner"/>
          <c:xMode val="edge"/>
          <c:yMode val="edge"/>
          <c:x val="3.6111111111111108E-2"/>
          <c:y val="0.21747703412073491"/>
          <c:w val="0.93888888888888888"/>
          <c:h val="0.75474518810148727"/>
        </c:manualLayout>
      </c:layout>
      <c:barChart>
        <c:barDir val="bar"/>
        <c:grouping val="clustered"/>
        <c:varyColors val="0"/>
        <c:ser>
          <c:idx val="0"/>
          <c:order val="0"/>
          <c:tx>
            <c:strRef>
              <c:f>'годишен просек и 5год.просек'!$A$29</c:f>
              <c:strCache>
                <c:ptCount val="1"/>
                <c:pt idx="0">
                  <c:v>Годишен просек за државни органи </c:v>
                </c:pt>
              </c:strCache>
            </c:strRef>
          </c:tx>
          <c:spPr>
            <a:solidFill>
              <a:srgbClr val="006600">
                <a:alpha val="85000"/>
              </a:srgbClr>
            </a:solidFill>
            <a:ln w="9525" cap="flat" cmpd="sng" algn="ctr">
              <a:solidFill>
                <a:schemeClr val="lt1">
                  <a:alpha val="50000"/>
                </a:schemeClr>
              </a:solidFill>
              <a:round/>
            </a:ln>
            <a:effectLst/>
            <a:scene3d>
              <a:camera prst="orthographicFront"/>
              <a:lightRig rig="threePt" dir="t"/>
            </a:scene3d>
            <a:sp3d>
              <a:bevelT w="82550" h="44450" prst="angle"/>
              <a:bevelB w="82550" h="44450" prst="angle"/>
              <a:contourClr>
                <a:srgbClr val="000000"/>
              </a:contourClr>
            </a:sp3d>
          </c:spPr>
          <c:invertIfNegative val="0"/>
          <c:dLbls>
            <c:dLbl>
              <c:idx val="0"/>
              <c:tx>
                <c:rich>
                  <a:bodyPr/>
                  <a:lstStyle/>
                  <a:p>
                    <a:r>
                      <a:rPr lang="en-US"/>
                      <a:t>viti 2018 </a:t>
                    </a:r>
                  </a:p>
                  <a:p>
                    <a:fld id="{8A97EA9F-E1CA-461C-AF78-6CE80AD426DB}" type="VALUE">
                      <a:rPr lang="en-US"/>
                      <a:pPr/>
                      <a:t>[VALUE]</a:t>
                    </a:fld>
                    <a:endParaRPr lang="sq-A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DCE-47E9-9C77-467118F42A2C}"/>
                </c:ext>
              </c:extLst>
            </c:dLbl>
            <c:dLbl>
              <c:idx val="1"/>
              <c:tx>
                <c:rich>
                  <a:bodyPr/>
                  <a:lstStyle/>
                  <a:p>
                    <a:r>
                      <a:rPr lang="en-US"/>
                      <a:t>viti 2019  </a:t>
                    </a:r>
                    <a:fld id="{9F5CB441-6C75-43C2-A45E-B97CB6DA1BA8}"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DCE-47E9-9C77-467118F42A2C}"/>
                </c:ext>
              </c:extLst>
            </c:dLbl>
            <c:dLbl>
              <c:idx val="2"/>
              <c:tx>
                <c:rich>
                  <a:bodyPr/>
                  <a:lstStyle/>
                  <a:p>
                    <a:r>
                      <a:rPr lang="en-US" sz="800" b="1" i="0" u="none" strike="noStrike" kern="1200" baseline="0">
                        <a:solidFill>
                          <a:sysClr val="windowText" lastClr="000000"/>
                        </a:solidFill>
                      </a:rPr>
                      <a:t>viti </a:t>
                    </a:r>
                    <a:r>
                      <a:rPr lang="en-US"/>
                      <a:t>2020</a:t>
                    </a:r>
                    <a:endParaRPr lang="en-US" baseline="0"/>
                  </a:p>
                  <a:p>
                    <a:fld id="{16A42199-5D58-412F-AC23-C3CE71361774}" type="VALUE">
                      <a:rPr lang="en-US"/>
                      <a:pPr/>
                      <a:t>[VALUE]</a:t>
                    </a:fld>
                    <a:endParaRPr lang="sq-A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DCE-47E9-9C77-467118F42A2C}"/>
                </c:ext>
              </c:extLst>
            </c:dLbl>
            <c:dLbl>
              <c:idx val="3"/>
              <c:tx>
                <c:rich>
                  <a:bodyPr/>
                  <a:lstStyle/>
                  <a:p>
                    <a:r>
                      <a:rPr lang="en-US" sz="800" b="1" i="0" u="none" strike="noStrike" kern="1200" baseline="0">
                        <a:solidFill>
                          <a:sysClr val="windowText" lastClr="000000"/>
                        </a:solidFill>
                      </a:rPr>
                      <a:t>    viti </a:t>
                    </a:r>
                    <a:r>
                      <a:rPr lang="en-US"/>
                      <a:t>2021</a:t>
                    </a:r>
                  </a:p>
                  <a:p>
                    <a:fld id="{9204C467-9181-4C06-9B6C-0265CE9F6C21}" type="VALUE">
                      <a:rPr lang="en-US"/>
                      <a:pPr/>
                      <a:t>[VALUE]</a:t>
                    </a:fld>
                    <a:endParaRPr lang="sq-A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DCE-47E9-9C77-467118F42A2C}"/>
                </c:ext>
              </c:extLst>
            </c:dLbl>
            <c:dLbl>
              <c:idx val="4"/>
              <c:tx>
                <c:rich>
                  <a:bodyPr/>
                  <a:lstStyle/>
                  <a:p>
                    <a:r>
                      <a:rPr lang="en-US"/>
                      <a:t>viti 2022</a:t>
                    </a:r>
                  </a:p>
                  <a:p>
                    <a:r>
                      <a:rPr lang="en-US"/>
                      <a:t>  </a:t>
                    </a:r>
                    <a:fld id="{C4FFCE37-4124-480E-9429-F7B781C6761A}"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DCE-47E9-9C77-467118F42A2C}"/>
                </c:ext>
              </c:extLst>
            </c:dLbl>
            <c:spPr>
              <a:solidFill>
                <a:schemeClr val="bg2">
                  <a:lumMod val="75000"/>
                  <a:alpha val="75000"/>
                </a:schemeClr>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leftArrowCallout">
                    <a:avLst/>
                  </a:prstGeom>
                  <a:noFill/>
                  <a:ln>
                    <a:noFill/>
                  </a:ln>
                </c15:spPr>
                <c15:showLeaderLines val="1"/>
                <c15:leaderLines>
                  <c:spPr>
                    <a:ln w="9525">
                      <a:solidFill>
                        <a:schemeClr val="dk1">
                          <a:lumMod val="50000"/>
                          <a:lumOff val="50000"/>
                        </a:schemeClr>
                      </a:solidFill>
                    </a:ln>
                    <a:effectLst/>
                  </c:spPr>
                </c15:leaderLines>
              </c:ext>
            </c:extLst>
          </c:dLbls>
          <c:val>
            <c:numRef>
              <c:f>'годишен просек и 5год.просек'!$B$29:$F$29</c:f>
              <c:numCache>
                <c:formatCode>0%</c:formatCode>
                <c:ptCount val="5"/>
                <c:pt idx="0">
                  <c:v>0.78148148148148122</c:v>
                </c:pt>
                <c:pt idx="1">
                  <c:v>0.74259259259259258</c:v>
                </c:pt>
                <c:pt idx="2">
                  <c:v>0.72259259259259256</c:v>
                </c:pt>
                <c:pt idx="3">
                  <c:v>0.63111111111111118</c:v>
                </c:pt>
                <c:pt idx="4">
                  <c:v>0.66074074074074085</c:v>
                </c:pt>
              </c:numCache>
            </c:numRef>
          </c:val>
          <c:extLst>
            <c:ext xmlns:c16="http://schemas.microsoft.com/office/drawing/2014/chart" uri="{C3380CC4-5D6E-409C-BE32-E72D297353CC}">
              <c16:uniqueId val="{00000005-EDCE-47E9-9C77-467118F42A2C}"/>
            </c:ext>
          </c:extLst>
        </c:ser>
        <c:ser>
          <c:idx val="1"/>
          <c:order val="1"/>
          <c:tx>
            <c:strRef>
              <c:f>'годишен просек и 5год.просек'!$A$30</c:f>
              <c:strCache>
                <c:ptCount val="1"/>
                <c:pt idx="0">
                  <c:v>5 годишен просек </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0.69374321959755025"/>
                  <c:y val="-1.7316017316017316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r>
                      <a:rPr lang="en-US">
                        <a:solidFill>
                          <a:sysClr val="windowText" lastClr="000000"/>
                        </a:solidFill>
                      </a:rPr>
                      <a:t>mesatarja 5 vjeçare   </a:t>
                    </a:r>
                  </a:p>
                  <a:p>
                    <a:pPr>
                      <a:defRPr/>
                    </a:pPr>
                    <a:r>
                      <a:rPr lang="en-US">
                        <a:solidFill>
                          <a:sysClr val="windowText" lastClr="000000"/>
                        </a:solidFill>
                      </a:rPr>
                      <a:t>  </a:t>
                    </a:r>
                    <a:fld id="{1C86849F-B216-4ACD-A5CC-A37BF66C0E50}" type="VALUE">
                      <a:rPr lang="en-US">
                        <a:solidFill>
                          <a:sysClr val="windowText" lastClr="000000"/>
                        </a:solidFill>
                      </a:rPr>
                      <a:pPr>
                        <a:defRPr/>
                      </a:pPr>
                      <a:t>[VALUE]</a:t>
                    </a:fld>
                    <a:endParaRPr lang="en-US">
                      <a:solidFill>
                        <a:sysClr val="windowText" lastClr="000000"/>
                      </a:solidFill>
                    </a:endParaRPr>
                  </a:p>
                </c:rich>
              </c:tx>
              <c:spPr>
                <a:solidFill>
                  <a:sysClr val="window" lastClr="FFFFFF">
                    <a:alpha val="75000"/>
                  </a:sysClr>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sq-AL"/>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ightArrowCallout">
                      <a:avLst/>
                    </a:prstGeom>
                    <a:noFill/>
                    <a:ln>
                      <a:noFill/>
                    </a:ln>
                  </c15:spPr>
                  <c15:dlblFieldTable/>
                  <c15:showDataLabelsRange val="0"/>
                </c:ext>
                <c:ext xmlns:c16="http://schemas.microsoft.com/office/drawing/2014/chart" uri="{C3380CC4-5D6E-409C-BE32-E72D297353CC}">
                  <c16:uniqueId val="{00000006-EDCE-47E9-9C77-467118F42A2C}"/>
                </c:ext>
              </c:extLst>
            </c:dLbl>
            <c:spPr>
              <a:solidFill>
                <a:sysClr val="window" lastClr="FFFFFF">
                  <a:alpha val="75000"/>
                </a:sysClr>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sq-AL"/>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ightArrowCallout">
                    <a:avLst/>
                  </a:prstGeom>
                  <a:noFill/>
                  <a:ln>
                    <a:noFill/>
                  </a:ln>
                </c15:spPr>
                <c15:showLeaderLines val="1"/>
                <c15:leaderLines>
                  <c:spPr>
                    <a:ln w="9525">
                      <a:solidFill>
                        <a:schemeClr val="dk1">
                          <a:lumMod val="50000"/>
                          <a:lumOff val="50000"/>
                        </a:schemeClr>
                      </a:solidFill>
                    </a:ln>
                    <a:effectLst/>
                  </c:spPr>
                </c15:leaderLines>
              </c:ext>
            </c:extLst>
          </c:dLbls>
          <c:val>
            <c:numRef>
              <c:f>'годишен просек и 5год.просек'!$B$30:$F$30</c:f>
              <c:numCache>
                <c:formatCode>General</c:formatCode>
                <c:ptCount val="5"/>
                <c:pt idx="0" formatCode="0%">
                  <c:v>0.70770370370370361</c:v>
                </c:pt>
              </c:numCache>
            </c:numRef>
          </c:val>
          <c:extLst>
            <c:ext xmlns:c16="http://schemas.microsoft.com/office/drawing/2014/chart" uri="{C3380CC4-5D6E-409C-BE32-E72D297353CC}">
              <c16:uniqueId val="{00000007-EDCE-47E9-9C77-467118F42A2C}"/>
            </c:ext>
          </c:extLst>
        </c:ser>
        <c:dLbls>
          <c:dLblPos val="inEnd"/>
          <c:showLegendKey val="0"/>
          <c:showVal val="1"/>
          <c:showCatName val="0"/>
          <c:showSerName val="0"/>
          <c:showPercent val="0"/>
          <c:showBubbleSize val="0"/>
        </c:dLbls>
        <c:gapWidth val="65"/>
        <c:axId val="2143898128"/>
        <c:axId val="2143884816"/>
      </c:barChart>
      <c:catAx>
        <c:axId val="2143898128"/>
        <c:scaling>
          <c:orientation val="minMax"/>
        </c:scaling>
        <c:delete val="1"/>
        <c:axPos val="l"/>
        <c:numFmt formatCode="General" sourceLinked="1"/>
        <c:majorTickMark val="none"/>
        <c:minorTickMark val="none"/>
        <c:tickLblPos val="nextTo"/>
        <c:crossAx val="2143884816"/>
        <c:crosses val="autoZero"/>
        <c:auto val="0"/>
        <c:lblAlgn val="ctr"/>
        <c:lblOffset val="100"/>
        <c:noMultiLvlLbl val="0"/>
      </c:catAx>
      <c:valAx>
        <c:axId val="214388481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1438981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E1D1-C190-4B01-9042-0816DB1C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serafimovski Fimovski</dc:creator>
  <cp:keywords/>
  <dc:description/>
  <cp:lastModifiedBy>Valon Mustafa</cp:lastModifiedBy>
  <cp:revision>4</cp:revision>
  <cp:lastPrinted>2023-11-08T12:24:00Z</cp:lastPrinted>
  <dcterms:created xsi:type="dcterms:W3CDTF">2023-11-29T18:17:00Z</dcterms:created>
  <dcterms:modified xsi:type="dcterms:W3CDTF">2023-12-04T22:09:00Z</dcterms:modified>
</cp:coreProperties>
</file>